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35" w:rsidRDefault="00FF3B35" w:rsidP="00FF3B35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3B35" w:rsidRDefault="00FF3B35" w:rsidP="00FF3B35">
      <w:pPr>
        <w:pStyle w:val="ConsPlusNormal"/>
        <w:outlineLvl w:val="0"/>
      </w:pPr>
    </w:p>
    <w:p w:rsidR="00FF3B35" w:rsidRDefault="00FF3B35" w:rsidP="00FF3B3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F3B35" w:rsidRDefault="00FF3B35" w:rsidP="00FF3B35">
      <w:pPr>
        <w:pStyle w:val="ConsPlusTitle"/>
        <w:jc w:val="center"/>
      </w:pPr>
    </w:p>
    <w:p w:rsidR="00FF3B35" w:rsidRDefault="00FF3B35" w:rsidP="00FF3B35">
      <w:pPr>
        <w:pStyle w:val="ConsPlusTitle"/>
        <w:jc w:val="center"/>
      </w:pPr>
      <w:r>
        <w:t>ПОСТАНОВЛЕНИЕ</w:t>
      </w:r>
    </w:p>
    <w:p w:rsidR="00FF3B35" w:rsidRDefault="00FF3B35" w:rsidP="00FF3B35">
      <w:pPr>
        <w:pStyle w:val="ConsPlusTitle"/>
        <w:jc w:val="center"/>
      </w:pPr>
      <w:r>
        <w:t>от 17 марта 2020 г. N 127</w:t>
      </w:r>
    </w:p>
    <w:p w:rsidR="00FF3B35" w:rsidRDefault="00FF3B35" w:rsidP="00FF3B35">
      <w:pPr>
        <w:pStyle w:val="ConsPlusTitle"/>
        <w:jc w:val="center"/>
      </w:pPr>
    </w:p>
    <w:p w:rsidR="00FF3B35" w:rsidRDefault="00FF3B35" w:rsidP="00FF3B35">
      <w:pPr>
        <w:pStyle w:val="ConsPlusTitle"/>
        <w:jc w:val="center"/>
      </w:pPr>
      <w:r>
        <w:t>ОБ УТВЕРЖДЕНИИ ПОРЯДКА ПРЕДОСТАВЛЕНИЯ СУБСИДИИ</w:t>
      </w:r>
    </w:p>
    <w:p w:rsidR="00FF3B35" w:rsidRDefault="00FF3B35" w:rsidP="00FF3B35">
      <w:pPr>
        <w:pStyle w:val="ConsPlusTitle"/>
        <w:jc w:val="center"/>
      </w:pPr>
      <w:r>
        <w:t>НА КОМПЕНСАЦИЮ ЧАСТИ ЗАТРАТ ЮРИДИЧЕСКИМ ЛИЦАМ</w:t>
      </w:r>
    </w:p>
    <w:p w:rsidR="00FF3B35" w:rsidRDefault="00FF3B35" w:rsidP="00FF3B35">
      <w:pPr>
        <w:pStyle w:val="ConsPlusTitle"/>
        <w:jc w:val="center"/>
      </w:pPr>
      <w:r>
        <w:t xml:space="preserve">И ИНДИВИДУАЛЬНЫМ ПРЕДПРИНИМАТЕЛЯМ НА РАЗВИТИЕ </w:t>
      </w:r>
      <w:proofErr w:type="gramStart"/>
      <w:r>
        <w:t>ЗАПРАВОЧНОЙ</w:t>
      </w:r>
      <w:proofErr w:type="gramEnd"/>
    </w:p>
    <w:p w:rsidR="00FF3B35" w:rsidRDefault="00FF3B35" w:rsidP="00FF3B35">
      <w:pPr>
        <w:pStyle w:val="ConsPlusTitle"/>
        <w:jc w:val="center"/>
      </w:pPr>
      <w:r>
        <w:t>ИНФРАСТРУКТУРЫ КОМПРИМИРОВАННОГО ПРИРОДНОГО ГАЗА В РАМКАХ</w:t>
      </w:r>
    </w:p>
    <w:p w:rsidR="00FF3B35" w:rsidRDefault="00FF3B35" w:rsidP="00FF3B35">
      <w:pPr>
        <w:pStyle w:val="ConsPlusTitle"/>
        <w:jc w:val="center"/>
      </w:pPr>
      <w:r>
        <w:t>ГОСУДАРСТВЕННОЙ ПРОГРАММЫ ЛЕНИНГРАДСКОЙ ОБЛАСТИ</w:t>
      </w:r>
    </w:p>
    <w:p w:rsidR="00FF3B35" w:rsidRDefault="00FF3B35" w:rsidP="00FF3B35">
      <w:pPr>
        <w:pStyle w:val="ConsPlusTitle"/>
        <w:jc w:val="center"/>
      </w:pPr>
      <w:r>
        <w:t>"РАЗВИТИЕ ТРАНСПОРТНОЙ СИСТЕМЫ ЛЕНИНГРАДСКОЙ ОБЛАСТИ"</w:t>
      </w:r>
    </w:p>
    <w:p w:rsidR="00FF3B35" w:rsidRDefault="00FF3B35" w:rsidP="00FF3B35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3B35" w:rsidTr="004933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3B35" w:rsidRDefault="00FF3B35" w:rsidP="00493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B35" w:rsidRDefault="00FF3B35" w:rsidP="004933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F3B35" w:rsidRDefault="00FF3B35" w:rsidP="00493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25.08.2020 </w:t>
            </w:r>
            <w:hyperlink r:id="rId6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31.05.2021 </w:t>
            </w:r>
            <w:hyperlink r:id="rId7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17.11.2022 </w:t>
            </w:r>
            <w:hyperlink r:id="rId8">
              <w:r>
                <w:rPr>
                  <w:color w:val="0000FF"/>
                </w:rPr>
                <w:t>N 825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</w:tr>
    </w:tbl>
    <w:p w:rsidR="00FF3B35" w:rsidRDefault="00FF3B35" w:rsidP="00FF3B35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3B35" w:rsidTr="004933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3B35" w:rsidRDefault="00FF3B35" w:rsidP="0049332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изменения, внесенного в наименование данного документа </w:t>
            </w:r>
            <w:hyperlink r:id="rId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17.11.2022 N 825, </w:t>
            </w:r>
            <w:hyperlink r:id="rId1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</w:tr>
    </w:tbl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</w:t>
      </w:r>
      <w:hyperlink r:id="rId12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Федерации, возникающих при развитии заправочной инфраструктуры компримированного природного газа, государственной программы "Развитие энергетики", утвержденной постановлением Правительства Российской Федерации от 15 апреля 2014 года N 321, Правительство Ленинградской области постановляет:</w:t>
      </w:r>
      <w:proofErr w:type="gramEnd"/>
    </w:p>
    <w:p w:rsidR="00FF3B35" w:rsidRDefault="00FF3B35" w:rsidP="00FF3B35">
      <w:pPr>
        <w:pStyle w:val="ConsPlusNormal"/>
        <w:ind w:firstLine="540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3B35" w:rsidTr="004933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3B35" w:rsidRDefault="00FF3B35" w:rsidP="0049332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изменения, внесенного в п. 1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17.11.2022 N 825, </w:t>
            </w:r>
            <w:hyperlink r:id="rId14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</w:tr>
    </w:tbl>
    <w:p w:rsidR="00FF3B35" w:rsidRDefault="00FF3B35" w:rsidP="00FF3B35">
      <w:pPr>
        <w:pStyle w:val="ConsPlusNormal"/>
        <w:spacing w:before="260"/>
        <w:ind w:firstLine="540"/>
        <w:jc w:val="both"/>
      </w:pPr>
      <w:r>
        <w:t xml:space="preserve">1. 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предоставления субсидии на компенсацию части затрат юридическим лицам и индивидуальным предпринимателям на развитие заправочной инфраструктуры компримированного природного газа в рамках государственной программы Ленинградской области "Развитие транспортной системы Ленинградской области".</w:t>
      </w:r>
    </w:p>
    <w:p w:rsidR="00FF3B35" w:rsidRDefault="00FF3B35" w:rsidP="00FF3B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25.08.2020 </w:t>
      </w:r>
      <w:hyperlink r:id="rId15">
        <w:r>
          <w:rPr>
            <w:color w:val="0000FF"/>
          </w:rPr>
          <w:t>N 598</w:t>
        </w:r>
      </w:hyperlink>
      <w:r>
        <w:t xml:space="preserve">, от 17.11.2022 </w:t>
      </w:r>
      <w:hyperlink r:id="rId16">
        <w:r>
          <w:rPr>
            <w:color w:val="0000FF"/>
          </w:rPr>
          <w:t>N 825</w:t>
        </w:r>
      </w:hyperlink>
      <w:r>
        <w:t>)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FF3B35" w:rsidRDefault="00FF3B35" w:rsidP="00FF3B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31.05.2021 N 318)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FF3B35" w:rsidRDefault="00FF3B35" w:rsidP="00FF3B35">
      <w:pPr>
        <w:pStyle w:val="ConsPlusNormal"/>
      </w:pPr>
    </w:p>
    <w:p w:rsidR="00FF3B35" w:rsidRDefault="00FF3B35" w:rsidP="00FF3B35">
      <w:pPr>
        <w:pStyle w:val="ConsPlusNormal"/>
        <w:jc w:val="right"/>
      </w:pPr>
      <w:r>
        <w:t>Губернатор</w:t>
      </w:r>
    </w:p>
    <w:p w:rsidR="00FF3B35" w:rsidRDefault="00FF3B35" w:rsidP="00FF3B35">
      <w:pPr>
        <w:pStyle w:val="ConsPlusNormal"/>
        <w:jc w:val="right"/>
      </w:pPr>
      <w:r>
        <w:t>Ленинградской области</w:t>
      </w:r>
    </w:p>
    <w:p w:rsidR="00FF3B35" w:rsidRDefault="00FF3B35" w:rsidP="00FF3B35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FF3B35" w:rsidRDefault="00FF3B35" w:rsidP="00FF3B35">
      <w:pPr>
        <w:pStyle w:val="ConsPlusNormal"/>
      </w:pPr>
    </w:p>
    <w:p w:rsidR="00FF3B35" w:rsidRDefault="00FF3B35" w:rsidP="00FF3B35">
      <w:pPr>
        <w:pStyle w:val="ConsPlusNormal"/>
      </w:pPr>
    </w:p>
    <w:p w:rsidR="00FF3B35" w:rsidRDefault="00FF3B35" w:rsidP="00FF3B35">
      <w:pPr>
        <w:pStyle w:val="ConsPlusNormal"/>
      </w:pPr>
    </w:p>
    <w:p w:rsidR="00FF3B35" w:rsidRDefault="00FF3B35" w:rsidP="00FF3B35">
      <w:pPr>
        <w:pStyle w:val="ConsPlusNormal"/>
      </w:pPr>
    </w:p>
    <w:p w:rsidR="00FF3B35" w:rsidRDefault="00FF3B35" w:rsidP="00FF3B35">
      <w:pPr>
        <w:pStyle w:val="ConsPlusNormal"/>
      </w:pPr>
    </w:p>
    <w:p w:rsidR="00FF3B35" w:rsidRDefault="00FF3B35" w:rsidP="00FF3B35">
      <w:pPr>
        <w:pStyle w:val="ConsPlusNormal"/>
        <w:jc w:val="right"/>
        <w:outlineLvl w:val="0"/>
      </w:pPr>
      <w:r>
        <w:t>УТВЕРЖДЕН</w:t>
      </w:r>
    </w:p>
    <w:p w:rsidR="00FF3B35" w:rsidRDefault="00FF3B35" w:rsidP="00FF3B35">
      <w:pPr>
        <w:pStyle w:val="ConsPlusNormal"/>
        <w:jc w:val="right"/>
      </w:pPr>
      <w:r>
        <w:t>постановлением Правительства</w:t>
      </w:r>
    </w:p>
    <w:p w:rsidR="00FF3B35" w:rsidRDefault="00FF3B35" w:rsidP="00FF3B35">
      <w:pPr>
        <w:pStyle w:val="ConsPlusNormal"/>
        <w:jc w:val="right"/>
      </w:pPr>
      <w:r>
        <w:t>Ленинградской области</w:t>
      </w:r>
    </w:p>
    <w:p w:rsidR="00FF3B35" w:rsidRDefault="00FF3B35" w:rsidP="00FF3B35">
      <w:pPr>
        <w:pStyle w:val="ConsPlusNormal"/>
        <w:jc w:val="right"/>
      </w:pPr>
      <w:r>
        <w:t>от 17.03.2020 N 127</w:t>
      </w:r>
    </w:p>
    <w:p w:rsidR="00FF3B35" w:rsidRDefault="00FF3B35" w:rsidP="00FF3B35">
      <w:pPr>
        <w:pStyle w:val="ConsPlusNormal"/>
        <w:jc w:val="right"/>
      </w:pPr>
      <w:r>
        <w:t>(приложение)</w:t>
      </w:r>
    </w:p>
    <w:p w:rsidR="00FF3B35" w:rsidRDefault="00FF3B35" w:rsidP="00FF3B35">
      <w:pPr>
        <w:pStyle w:val="ConsPlusNormal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3B35" w:rsidTr="004933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3B35" w:rsidRDefault="00FF3B35" w:rsidP="0049332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изменения, внесенного в наименование приложения </w:t>
            </w:r>
            <w:hyperlink r:id="rId1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17.11.2022 N 825, </w:t>
            </w:r>
            <w:hyperlink r:id="rId19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</w:tr>
    </w:tbl>
    <w:p w:rsidR="00FF3B35" w:rsidRDefault="00FF3B35" w:rsidP="00FF3B35">
      <w:pPr>
        <w:pStyle w:val="ConsPlusTitle"/>
        <w:spacing w:before="260"/>
        <w:jc w:val="center"/>
      </w:pPr>
      <w:bookmarkStart w:id="0" w:name="P41"/>
      <w:bookmarkEnd w:id="0"/>
      <w:r>
        <w:t>ПОРЯДОК</w:t>
      </w:r>
    </w:p>
    <w:p w:rsidR="00FF3B35" w:rsidRDefault="00FF3B35" w:rsidP="00FF3B35">
      <w:pPr>
        <w:pStyle w:val="ConsPlusTitle"/>
        <w:jc w:val="center"/>
      </w:pPr>
      <w:r>
        <w:t>ПРЕДОСТАВЛЕНИЯ СУБСИДИИ НА КОМПЕНСАЦИЮ ЧАСТИ ЗАТРАТ</w:t>
      </w:r>
    </w:p>
    <w:p w:rsidR="00FF3B35" w:rsidRDefault="00FF3B35" w:rsidP="00FF3B35">
      <w:pPr>
        <w:pStyle w:val="ConsPlusTitle"/>
        <w:jc w:val="center"/>
      </w:pPr>
      <w:r>
        <w:t>ЮРИДИЧЕСКИМ ЛИЦАМ И ИНДИВИДУАЛЬНЫМ ПРЕДПРИНИМАТЕЛЯМ</w:t>
      </w:r>
    </w:p>
    <w:p w:rsidR="00FF3B35" w:rsidRDefault="00FF3B35" w:rsidP="00FF3B35">
      <w:pPr>
        <w:pStyle w:val="ConsPlusTitle"/>
        <w:jc w:val="center"/>
      </w:pPr>
      <w:r>
        <w:t xml:space="preserve">НА РАЗВИТИЕ ЗАПРАВОЧНОЙ ИНФРАСТРУКТУРЫ </w:t>
      </w:r>
      <w:proofErr w:type="gramStart"/>
      <w:r>
        <w:t>КОМПРИМИРОВАННОГО</w:t>
      </w:r>
      <w:proofErr w:type="gramEnd"/>
    </w:p>
    <w:p w:rsidR="00FF3B35" w:rsidRDefault="00FF3B35" w:rsidP="00FF3B35">
      <w:pPr>
        <w:pStyle w:val="ConsPlusTitle"/>
        <w:jc w:val="center"/>
      </w:pPr>
      <w:r>
        <w:t>ПРИРОДНОГО ГАЗА В РАМКАХ ГОСУДАРСТВЕННОЙ ПРОГРАММЫ</w:t>
      </w:r>
    </w:p>
    <w:p w:rsidR="00FF3B35" w:rsidRDefault="00FF3B35" w:rsidP="00FF3B35">
      <w:pPr>
        <w:pStyle w:val="ConsPlusTitle"/>
        <w:jc w:val="center"/>
      </w:pPr>
      <w:r>
        <w:t>ЛЕНИНГРАДСКОЙ ОБЛАСТИ "РАЗВИТИЕ ТРАНСПОРТНОЙ</w:t>
      </w:r>
    </w:p>
    <w:p w:rsidR="00FF3B35" w:rsidRDefault="00FF3B35" w:rsidP="00FF3B35">
      <w:pPr>
        <w:pStyle w:val="ConsPlusTitle"/>
        <w:jc w:val="center"/>
      </w:pPr>
      <w:r>
        <w:t>СИСТЕМЫ ЛЕНИНГРАДСКОЙ ОБЛАСТИ"</w:t>
      </w:r>
    </w:p>
    <w:p w:rsidR="00FF3B35" w:rsidRDefault="00FF3B35" w:rsidP="00FF3B35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3B35" w:rsidTr="004933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3B35" w:rsidRDefault="00FF3B35" w:rsidP="00493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B35" w:rsidRDefault="00FF3B35" w:rsidP="004933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F3B35" w:rsidRDefault="00FF3B35" w:rsidP="00493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31.05.2021 </w:t>
            </w:r>
            <w:hyperlink r:id="rId20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17.11.2022 </w:t>
            </w:r>
            <w:hyperlink r:id="rId21">
              <w:r>
                <w:rPr>
                  <w:color w:val="0000FF"/>
                </w:rPr>
                <w:t>N 825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</w:tr>
    </w:tbl>
    <w:p w:rsidR="00FF3B35" w:rsidRDefault="00FF3B35" w:rsidP="00FF3B35">
      <w:pPr>
        <w:pStyle w:val="ConsPlusNormal"/>
        <w:jc w:val="center"/>
      </w:pPr>
    </w:p>
    <w:p w:rsidR="00FF3B35" w:rsidRDefault="00FF3B35" w:rsidP="00FF3B35">
      <w:pPr>
        <w:pStyle w:val="ConsPlusTitle"/>
        <w:jc w:val="center"/>
        <w:outlineLvl w:val="1"/>
      </w:pPr>
      <w:r>
        <w:t>1. Общие положения</w:t>
      </w:r>
    </w:p>
    <w:p w:rsidR="00FF3B35" w:rsidRDefault="00FF3B35" w:rsidP="00FF3B35">
      <w:pPr>
        <w:pStyle w:val="ConsPlusNormal"/>
        <w:ind w:firstLine="540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3B35" w:rsidTr="004933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3B35" w:rsidRDefault="00FF3B35" w:rsidP="0049332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изменения, внесенного в п. 1.1 </w:t>
            </w:r>
            <w:hyperlink r:id="rId2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17.11.2022 N 825, </w:t>
            </w:r>
            <w:hyperlink r:id="rId23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</w:tr>
    </w:tbl>
    <w:p w:rsidR="00FF3B35" w:rsidRDefault="00FF3B35" w:rsidP="00FF3B35">
      <w:pPr>
        <w:pStyle w:val="ConsPlusNormal"/>
        <w:spacing w:before="260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цели, условия и порядок предоставления субсидии из областного бюджета Ленинградской области, в том числе за счет средств, поступивших в порядке </w:t>
      </w:r>
      <w:proofErr w:type="spellStart"/>
      <w:r>
        <w:t>софинансирования</w:t>
      </w:r>
      <w:proofErr w:type="spellEnd"/>
      <w:r>
        <w:t xml:space="preserve"> из федерального бюджета, на компенсацию части затрат юридическим лицам и индивидуальным предпринимателям на развитие заправочной инфраструктуры компримированного природного газа в рамках государственной </w:t>
      </w:r>
      <w:hyperlink r:id="rId24">
        <w:r>
          <w:rPr>
            <w:color w:val="0000FF"/>
          </w:rPr>
          <w:t>программы</w:t>
        </w:r>
      </w:hyperlink>
      <w:r>
        <w:t xml:space="preserve"> Ленинградской области "Развитие транспортной системы Ленинградской области", утвержденной постановлением Правительства Ленинградской области от</w:t>
      </w:r>
      <w:proofErr w:type="gramEnd"/>
      <w:r>
        <w:t xml:space="preserve"> 14 ноября 2013 года N 397 (далее - участники отбора, субсидия).</w:t>
      </w:r>
    </w:p>
    <w:p w:rsidR="00FF3B35" w:rsidRDefault="00FF3B35" w:rsidP="00FF3B35">
      <w:pPr>
        <w:pStyle w:val="ConsPlusNormal"/>
        <w:jc w:val="both"/>
      </w:pPr>
      <w:r>
        <w:t xml:space="preserve">(п. 1.1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17.11.2022 N 825)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1.2. В настоящем Порядке применяются следующие понятия: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природный газ - компримированный (сжатый) природный газ (метан);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контейнерная автомобильная газонаполнительная компрессорная станция - автомобильная газонаполнительная компрессорная станция, характеризующаяся надземным расположением резервуаров компримированного природного газа и размещением топливораздаточных колонок в контейнере для размещения оборудования, выполненного как единое заводское изделие;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модульная автомобильная газонаполнительная компрессорная станция - автомобильная газонаполнительная компрессорная станция, характеризующаяся надземным расположением резервуаров компримированного природного газа и разнесением топливораздаточной колонки и контейнера для размещения оборудования, выполненного как единое заводское изделие;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bookmarkStart w:id="1" w:name="P61"/>
      <w:bookmarkEnd w:id="1"/>
      <w:proofErr w:type="gramStart"/>
      <w:r>
        <w:t>объект заправки транспортных средств природным газом (объект заправки) - стационарная автомобильная заправочная станция публичного доступа, обеспечивающая возможность заправки транспортных средств компримированным (сжатым) природным газом (</w:t>
      </w:r>
      <w:proofErr w:type="spellStart"/>
      <w:r>
        <w:t>мультитопливная</w:t>
      </w:r>
      <w:proofErr w:type="spellEnd"/>
      <w:r>
        <w:t xml:space="preserve"> автомобильная заправочная станция, обеспечивающая возможность заправки компримированным природным газом, автомобильная газонаполнительная компрессорная станция, а также криогенная автозаправочная станция (далее - </w:t>
      </w:r>
      <w:proofErr w:type="spellStart"/>
      <w:r>
        <w:t>КриоАЗС</w:t>
      </w:r>
      <w:proofErr w:type="spellEnd"/>
      <w:r>
        <w:t xml:space="preserve">), обеспечивающая возможность заправки компримированным природным газом), соответствующая </w:t>
      </w:r>
      <w:hyperlink w:anchor="P222">
        <w:r>
          <w:rPr>
            <w:color w:val="0000FF"/>
          </w:rPr>
          <w:t>требованиям</w:t>
        </w:r>
      </w:hyperlink>
      <w:r>
        <w:t>, установленным приложением 1 к настоящему Порядку;</w:t>
      </w:r>
      <w:proofErr w:type="gramEnd"/>
    </w:p>
    <w:p w:rsidR="00FF3B35" w:rsidRDefault="00FF3B35" w:rsidP="00FF3B35">
      <w:pPr>
        <w:pStyle w:val="ConsPlusNormal"/>
        <w:spacing w:before="200"/>
        <w:ind w:firstLine="540"/>
        <w:jc w:val="both"/>
      </w:pPr>
      <w:proofErr w:type="gramStart"/>
      <w:r>
        <w:t xml:space="preserve">реализация инвестиционного проекта по строительству объекта заправки транспортных средств природным газом - осуществление капитальных вложений, необходимых для строительства объекта заправки транспортных средств природным газом, либо выполнение реконструкции объекта, не являющегося стационарной автомобильной заправочной станцией, обеспечивающей возможность заправки транспортных средств природным газом, в результате </w:t>
      </w:r>
      <w:r>
        <w:lastRenderedPageBreak/>
        <w:t xml:space="preserve">которой такой объект может быть идентифицирован как объект заправки транспортных средств природным газом, в соответствии с </w:t>
      </w:r>
      <w:hyperlink w:anchor="P61">
        <w:r>
          <w:rPr>
            <w:color w:val="0000FF"/>
          </w:rPr>
          <w:t>абзацем пятым</w:t>
        </w:r>
        <w:proofErr w:type="gramEnd"/>
      </w:hyperlink>
      <w:r>
        <w:t xml:space="preserve"> настоящего пункта.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FF3B35" w:rsidRDefault="00FF3B35" w:rsidP="00FF3B35">
      <w:pPr>
        <w:pStyle w:val="ConsPlusNormal"/>
        <w:jc w:val="both"/>
      </w:pPr>
      <w:r>
        <w:t xml:space="preserve">(п. 1.2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17.11.2022 N 825)</w:t>
      </w:r>
    </w:p>
    <w:p w:rsidR="00FF3B35" w:rsidRDefault="00FF3B35" w:rsidP="00FF3B35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3B35" w:rsidTr="004933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3B35" w:rsidRDefault="00FF3B35" w:rsidP="0049332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изменения, внесенного в п. 1.3 </w:t>
            </w:r>
            <w:hyperlink r:id="rId2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17.11.2022 N 825, </w:t>
            </w:r>
            <w:hyperlink r:id="rId28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</w:tr>
    </w:tbl>
    <w:p w:rsidR="00FF3B35" w:rsidRDefault="00FF3B35" w:rsidP="00FF3B35">
      <w:pPr>
        <w:pStyle w:val="ConsPlusNormal"/>
        <w:spacing w:before="260"/>
        <w:ind w:firstLine="540"/>
        <w:jc w:val="both"/>
      </w:pPr>
      <w:bookmarkStart w:id="2" w:name="P66"/>
      <w:bookmarkEnd w:id="2"/>
      <w:r>
        <w:t xml:space="preserve">1.3. </w:t>
      </w:r>
      <w:proofErr w:type="gramStart"/>
      <w:r>
        <w:t xml:space="preserve">Субсидия предоставляется в целях развития заправочной инфраструктуры компримированного природного газа путем компенсации части затрат юридическим лицам и индивидуальным предпринимателям, реализовавшим инвестиционные проекты по строительству объектов заправки транспортных средств природным газом в Ленинградской области в рамках государственной </w:t>
      </w:r>
      <w:hyperlink r:id="rId29">
        <w:r>
          <w:rPr>
            <w:color w:val="0000FF"/>
          </w:rPr>
          <w:t>программы</w:t>
        </w:r>
      </w:hyperlink>
      <w:r>
        <w:t xml:space="preserve"> Ленинградской области "Развитие транспортной системы Ленинградской области", утвержденной постановлением Правительства Ленинградской области от 14 ноября 2013 года N 397.</w:t>
      </w:r>
      <w:proofErr w:type="gramEnd"/>
    </w:p>
    <w:p w:rsidR="00FF3B35" w:rsidRDefault="00FF3B35" w:rsidP="00FF3B35">
      <w:pPr>
        <w:pStyle w:val="ConsPlusNormal"/>
        <w:jc w:val="both"/>
      </w:pPr>
      <w:r>
        <w:t xml:space="preserve">(п. 1.3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17.11.2022 N 825)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bookmarkStart w:id="3" w:name="P68"/>
      <w:bookmarkEnd w:id="3"/>
      <w:r>
        <w:t xml:space="preserve">1.4. К категории получателей субсидии относятся юридические лица (за исключением государственных (муниципальных) учреждений) и индивидуальные предприниматели, реализовавшие инвестиционный проект по строительству объектов заправки, отвечающих </w:t>
      </w:r>
      <w:hyperlink w:anchor="P222">
        <w:r>
          <w:rPr>
            <w:color w:val="0000FF"/>
          </w:rPr>
          <w:t>требованиям</w:t>
        </w:r>
      </w:hyperlink>
      <w:r>
        <w:t>, установленным приложением 1 к настоящему Порядку (далее - получатели субсидии).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1.5. Субсидия предоставляется получателям субсидии по одному и тому же объекту заправки один раз.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1.6.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соответствующий финансовый год и на плановые периоды главному распорядителю бюджетных средств - Комитету Ленинградской области по транспорту (далее - Комитет) на цели, указанные в </w:t>
      </w:r>
      <w:hyperlink w:anchor="P66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1.7. Получатели субсидии определяются по результатам отбора. Способом проведения отбора является запрос заявок (далее - отбор).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1.8.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сеть "Интернет")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Title"/>
        <w:jc w:val="center"/>
        <w:outlineLvl w:val="1"/>
      </w:pPr>
      <w:bookmarkStart w:id="4" w:name="P74"/>
      <w:bookmarkEnd w:id="4"/>
      <w:r>
        <w:t>2. Порядок проведения отбора получателей субсидии</w:t>
      </w:r>
    </w:p>
    <w:p w:rsidR="00FF3B35" w:rsidRDefault="00FF3B35" w:rsidP="00FF3B35">
      <w:pPr>
        <w:pStyle w:val="ConsPlusTitle"/>
        <w:jc w:val="center"/>
      </w:pPr>
      <w:r>
        <w:t>для предоставления субсидии</w:t>
      </w: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ind w:firstLine="540"/>
        <w:jc w:val="both"/>
      </w:pPr>
      <w:bookmarkStart w:id="5" w:name="P77"/>
      <w:bookmarkEnd w:id="5"/>
      <w:r>
        <w:t xml:space="preserve">2.1. </w:t>
      </w:r>
      <w:proofErr w:type="gramStart"/>
      <w:r>
        <w:t xml:space="preserve">Комитетом проводится отбор получателей субсидии на основании заявок, направленных участниками отбора для участия в отборе (далее - заявка), исходя из наличия оснований для отклонения заявки участника отбора на стадии рассмотрения заявки в соответствии с </w:t>
      </w:r>
      <w:hyperlink w:anchor="P147">
        <w:r>
          <w:rPr>
            <w:color w:val="0000FF"/>
          </w:rPr>
          <w:t>пунктом 2.12</w:t>
        </w:r>
      </w:hyperlink>
      <w:r>
        <w:t xml:space="preserve"> настоящего Порядка и наличия оснований для отказа в предоставлении субсидии в соответствии с </w:t>
      </w:r>
      <w:hyperlink w:anchor="P153">
        <w:r>
          <w:rPr>
            <w:color w:val="0000FF"/>
          </w:rPr>
          <w:t>пунктом 2.14</w:t>
        </w:r>
      </w:hyperlink>
      <w:r>
        <w:t xml:space="preserve"> настоящего Порядка, с учетом очередности поступления заявок.</w:t>
      </w:r>
      <w:proofErr w:type="gramEnd"/>
    </w:p>
    <w:p w:rsidR="00FF3B35" w:rsidRDefault="00FF3B35" w:rsidP="00FF3B35">
      <w:pPr>
        <w:pStyle w:val="ConsPlusNormal"/>
        <w:spacing w:before="200"/>
        <w:ind w:firstLine="540"/>
        <w:jc w:val="both"/>
      </w:pPr>
      <w:bookmarkStart w:id="6" w:name="P78"/>
      <w:bookmarkEnd w:id="6"/>
      <w:r>
        <w:t>2.2. Объявление о проведении отбора (далее - объявление) размещается в сети "Интернет" на едином портале бюджетной системы Российской Федерации (при наличии технической возможности) и на официальном сайте Комитета не позднее 1 декабря текущего финансового года на срок не менее 10 календарных дней, следующих за днем размещения объявления, и содержит следующую информацию:</w:t>
      </w:r>
    </w:p>
    <w:p w:rsidR="00FF3B35" w:rsidRDefault="00FF3B35" w:rsidP="00FF3B35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17.11.2022 N 825)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сроки проведения отбора (дату и время начала (окончания) подачи (приема) заявок участников отбора, которые не могут быть меньше 10 календарных дней, следующих за днем размещения объявления;</w:t>
      </w:r>
    </w:p>
    <w:p w:rsidR="00FF3B35" w:rsidRDefault="00FF3B35" w:rsidP="00FF3B35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17.11.2022 N 825)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lastRenderedPageBreak/>
        <w:t>наименование, место нахождения, почтовый адрес, адрес электронной почты Комитета;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результат предоставления субсидии в соответствии с </w:t>
      </w:r>
      <w:hyperlink w:anchor="P186">
        <w:r>
          <w:rPr>
            <w:color w:val="0000FF"/>
          </w:rPr>
          <w:t>пунктом 3.9</w:t>
        </w:r>
      </w:hyperlink>
      <w:r>
        <w:t xml:space="preserve"> настоящего Порядка;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объем лимитов бюджетных обязательств на предоставление субсидии на текущий финансовый год;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доменное имя, </w:t>
      </w:r>
      <w:proofErr w:type="gramStart"/>
      <w:r>
        <w:t>и(</w:t>
      </w:r>
      <w:proofErr w:type="gramEnd"/>
      <w:r>
        <w:t>или) сетевой адрес, и(или) указатель страниц сайта в сети "Интернет", на котором обеспечивается проведение отбора;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требования к участникам отбора в соответствии с </w:t>
      </w:r>
      <w:hyperlink w:anchor="P94">
        <w:r>
          <w:rPr>
            <w:color w:val="0000FF"/>
          </w:rPr>
          <w:t>пунктом 2.3</w:t>
        </w:r>
      </w:hyperlink>
      <w: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порядок подачи заявок участниками отбора и требования, предъявляемые к форме и содержанию заявок, в соответствии с </w:t>
      </w:r>
      <w:hyperlink w:anchor="P125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порядок отзыва заявок участников отбора, порядок возврата заявок, </w:t>
      </w:r>
      <w:proofErr w:type="gramStart"/>
      <w:r>
        <w:t>определяющий</w:t>
      </w:r>
      <w:proofErr w:type="gramEnd"/>
      <w: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правила рассмотрения и оценки заявок участников отбора в соответствии с </w:t>
      </w:r>
      <w:hyperlink w:anchor="P141">
        <w:r>
          <w:rPr>
            <w:color w:val="0000FF"/>
          </w:rPr>
          <w:t>пунктами 2.7</w:t>
        </w:r>
      </w:hyperlink>
      <w:r>
        <w:t xml:space="preserve"> - </w:t>
      </w:r>
      <w:hyperlink w:anchor="P146">
        <w:r>
          <w:rPr>
            <w:color w:val="0000FF"/>
          </w:rPr>
          <w:t>2.11</w:t>
        </w:r>
      </w:hyperlink>
      <w:r>
        <w:t xml:space="preserve"> настоящего Порядка;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срок, в течение которого победитель (победители) отбора должен (должны) подписать соглашение о предоставлении субсидии (далее - соглашение);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условия признания победителя (победителей) отбора </w:t>
      </w:r>
      <w:proofErr w:type="gramStart"/>
      <w:r>
        <w:t>уклонившимся</w:t>
      </w:r>
      <w:proofErr w:type="gramEnd"/>
      <w:r>
        <w:t xml:space="preserve"> (уклонившимися) от заключения соглашения;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дата размещения результатов отбора в сети "Интернет" на едином портале бюджетной системы Российской Федерации (при наличии технической возможности) и на официальном сайте Комитета.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bookmarkStart w:id="7" w:name="P94"/>
      <w:bookmarkEnd w:id="7"/>
      <w:r>
        <w:t>2.3. Участник отбора должен соответствовать следующим требованиям: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bookmarkStart w:id="8" w:name="P95"/>
      <w:bookmarkEnd w:id="8"/>
      <w:r>
        <w:t>а) на дату подачи заявки: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у участника отбора должна отсутствовать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областным бюджетом Ленинградской области;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proofErr w:type="gramStart"/>
      <w: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FF3B35" w:rsidRDefault="00FF3B35" w:rsidP="00FF3B35">
      <w:pPr>
        <w:pStyle w:val="ConsPlusNormal"/>
        <w:spacing w:before="200"/>
        <w:ind w:firstLine="540"/>
        <w:jc w:val="both"/>
      </w:pPr>
      <w:proofErr w:type="gramStart"/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  <w:proofErr w:type="gramEnd"/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участники отбора не должны являться иностранными юридическими лицами, а также </w:t>
      </w:r>
      <w:r>
        <w:lastRenderedPageBreak/>
        <w:t xml:space="preserve">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участники отбора не должны получать средства из областного бюджета Ленинградской области на основании иных нормативных правовых актов на цели, установленные настоящим Порядком;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FF3B35" w:rsidRDefault="00FF3B35" w:rsidP="00FF3B35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17.11.2022 N 825)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в 2022 году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</w:t>
      </w:r>
      <w:proofErr w:type="gramStart"/>
      <w:r>
        <w:t>и(</w:t>
      </w:r>
      <w:proofErr w:type="gramEnd"/>
      <w:r>
        <w:t xml:space="preserve">или) введением иностранными государствами, государственными объединениями </w:t>
      </w:r>
      <w:proofErr w:type="gramStart"/>
      <w:r>
        <w:t>и(</w:t>
      </w:r>
      <w:proofErr w:type="gramEnd"/>
      <w:r>
        <w:t>или) союзами и(или) государственными (межгосударственными) учреждениями иностранных государств или государственных объединений и(или) союзов мер ограничительного характера;</w:t>
      </w:r>
    </w:p>
    <w:p w:rsidR="00FF3B35" w:rsidRDefault="00FF3B35" w:rsidP="00FF3B35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17.11.2022 N 825)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bookmarkStart w:id="9" w:name="P106"/>
      <w:bookmarkEnd w:id="9"/>
      <w:r>
        <w:t xml:space="preserve">б) наличие у участника отбора документов, подтверждающих соответствие объектов заправки </w:t>
      </w:r>
      <w:hyperlink w:anchor="P222">
        <w:r>
          <w:rPr>
            <w:color w:val="0000FF"/>
          </w:rPr>
          <w:t>требованиям</w:t>
        </w:r>
      </w:hyperlink>
      <w:r>
        <w:t>, установленным приложением 1 к настоящему Порядку: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разрешения на ввод объекта в эксплуатацию, полученного в соответствии со </w:t>
      </w:r>
      <w:hyperlink r:id="rId35">
        <w:r>
          <w:rPr>
            <w:color w:val="0000FF"/>
          </w:rPr>
          <w:t>статьей 55</w:t>
        </w:r>
      </w:hyperlink>
      <w:r>
        <w:t xml:space="preserve"> Градостроительного кодекса Российской Федерации не ранее 1 января текущего года;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bookmarkStart w:id="10" w:name="P108"/>
      <w:bookmarkEnd w:id="10"/>
      <w:r>
        <w:t>технических условий на подключение (технологическое присоединение) объектов капитального строительства к сетям газораспределения;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акта о подключении (техническом присоединении) или в случае его отсутствия копии иных документов, подтверждающих факт подключения (технологического присоединения) объекта капитального строительства к сетям газораспределения;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bookmarkStart w:id="11" w:name="P110"/>
      <w:bookmarkEnd w:id="11"/>
      <w:r>
        <w:t>договора поставки газа;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технических условий для присоединения к электрическим сетям;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акта об осуществлении технологического присоединения к электрическим сетям;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договора энергоснабжения или купли-продажи (поставки) электрической энергии;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паспортов установленного компрессорного оборудования (компрессора или компрессорной установки) либо </w:t>
      </w:r>
      <w:proofErr w:type="spellStart"/>
      <w:r>
        <w:t>регазификационного</w:t>
      </w:r>
      <w:proofErr w:type="spellEnd"/>
      <w:r>
        <w:t xml:space="preserve"> оборудования и актов монтажа по форме КС-2 в отношении указанного оборудования;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паспортов заправочных колонок и актов монтажа по форме КС-2 в отношении указанного оборудования;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паспортов блоков аккумуляторов газа и актов монтажа по форме КС-2 в отношении указанного оборудования;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bookmarkStart w:id="12" w:name="P117"/>
      <w:bookmarkEnd w:id="12"/>
      <w:r>
        <w:t>паспортов блоков осушки (очистки);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proofErr w:type="gramStart"/>
      <w:r>
        <w:t xml:space="preserve">заключений Министерства промышленности и торговли Российской Федерации, подтверждающих производство использованного при строительстве объекта заправки технологического оборудования на территории Российской Федерации, в отношении оборудования, для которого в соответствии с </w:t>
      </w:r>
      <w:hyperlink r:id="rId36">
        <w:r>
          <w:rPr>
            <w:color w:val="0000FF"/>
          </w:rPr>
          <w:t>приложением 2</w:t>
        </w:r>
      </w:hyperlink>
      <w:r>
        <w:t xml:space="preserve"> к Правилам предоставления и </w:t>
      </w:r>
      <w:r>
        <w:lastRenderedPageBreak/>
        <w:t xml:space="preserve">распределения субсидий из федерального бюджета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Федерации, возникающих при развитии заправочной инфраструктуры компримированного природного газа, утвержденным</w:t>
      </w:r>
      <w:proofErr w:type="gramEnd"/>
      <w:r>
        <w:t xml:space="preserve"> постановлением Правительства Российской Федерации от 15 апреля 2014 года N 321 "Об утверждении государственной программы Российской Федерации "Развитие энергетики", установлено требование об использовании оборудования, произведенного на территории Российской Федерации;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в случае реализации инвестиционного проекта по строительству </w:t>
      </w:r>
      <w:proofErr w:type="spellStart"/>
      <w:r>
        <w:t>КриоАЗС</w:t>
      </w:r>
      <w:proofErr w:type="spellEnd"/>
      <w:r>
        <w:t xml:space="preserve"> вместо документов, предусмотренных </w:t>
      </w:r>
      <w:hyperlink w:anchor="P108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110">
        <w:r>
          <w:rPr>
            <w:color w:val="0000FF"/>
          </w:rPr>
          <w:t>пятым</w:t>
        </w:r>
      </w:hyperlink>
      <w:r>
        <w:t xml:space="preserve"> и </w:t>
      </w:r>
      <w:hyperlink w:anchor="P117">
        <w:r>
          <w:rPr>
            <w:color w:val="0000FF"/>
          </w:rPr>
          <w:t>двенадцатым</w:t>
        </w:r>
      </w:hyperlink>
      <w:r>
        <w:t xml:space="preserve"> настоящего подпункта, копии паспортов криогенных резервуаров, актов монтажа по форме КС-2 в их отношении и договора с поставщиком сжиженного природного газа на его поставку;</w:t>
      </w:r>
    </w:p>
    <w:p w:rsidR="00FF3B35" w:rsidRDefault="00FF3B35" w:rsidP="00FF3B35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17.11.2022 N 825)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в случае реализации инвестиционного проекта по строительству объекта контейнерного типа вместо копий паспортов компрессорного или </w:t>
      </w:r>
      <w:proofErr w:type="spellStart"/>
      <w:r>
        <w:t>регазификационного</w:t>
      </w:r>
      <w:proofErr w:type="spellEnd"/>
      <w:r>
        <w:t xml:space="preserve"> оборудования, паспортов блоков осушки (очистки), паспортов заправочных </w:t>
      </w:r>
      <w:proofErr w:type="gramStart"/>
      <w:r>
        <w:t>колонок и паспортов блоков аккумуляторов газа копии паспорта контейнерной автомобильной газонаполнительной компрессорной станции</w:t>
      </w:r>
      <w:proofErr w:type="gramEnd"/>
      <w:r>
        <w:t xml:space="preserve"> и акта монтажа по форме КС-2 в ее отношении;</w:t>
      </w:r>
    </w:p>
    <w:p w:rsidR="00FF3B35" w:rsidRDefault="00FF3B35" w:rsidP="00FF3B35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17.11.2022 N 825)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в случае реализации инвестиционного проекта по строительству объекта модульного типа вместо копий паспортов компрессорного или </w:t>
      </w:r>
      <w:proofErr w:type="spellStart"/>
      <w:r>
        <w:t>регазификационного</w:t>
      </w:r>
      <w:proofErr w:type="spellEnd"/>
      <w:r>
        <w:t xml:space="preserve"> оборудования, паспортов блоков осушки (очистки) и паспортов </w:t>
      </w:r>
      <w:proofErr w:type="gramStart"/>
      <w:r>
        <w:t>блоков аккумуляторов газа копии паспорта модульной автомобильной газонаполнительной компрессорной станции</w:t>
      </w:r>
      <w:proofErr w:type="gramEnd"/>
      <w:r>
        <w:t xml:space="preserve"> и акта монтажа по форме КС-2 в ее отношении.</w:t>
      </w:r>
    </w:p>
    <w:p w:rsidR="00FF3B35" w:rsidRDefault="00FF3B35" w:rsidP="00FF3B35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17.11.2022 N 825)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bookmarkStart w:id="13" w:name="P125"/>
      <w:bookmarkEnd w:id="13"/>
      <w:r>
        <w:t xml:space="preserve">2.4. Участники отбора, соответствующие категориям, указанным в </w:t>
      </w:r>
      <w:hyperlink w:anchor="P68">
        <w:r>
          <w:rPr>
            <w:color w:val="0000FF"/>
          </w:rPr>
          <w:t>пункте 1.4</w:t>
        </w:r>
      </w:hyperlink>
      <w:r>
        <w:t xml:space="preserve"> настоящего Порядка, в срок, установленный в соответствии с </w:t>
      </w:r>
      <w:hyperlink w:anchor="P78">
        <w:r>
          <w:rPr>
            <w:color w:val="0000FF"/>
          </w:rPr>
          <w:t>пунктом 2.2</w:t>
        </w:r>
      </w:hyperlink>
      <w:r>
        <w:t xml:space="preserve"> настоящего Порядка, представляют в Комитет </w:t>
      </w:r>
      <w:hyperlink w:anchor="P344">
        <w:r>
          <w:rPr>
            <w:color w:val="0000FF"/>
          </w:rPr>
          <w:t>заявки</w:t>
        </w:r>
      </w:hyperlink>
      <w:r>
        <w:t xml:space="preserve"> по форме согласно приложению 3 к настоящему Порядку.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К заявке прилагаются следующие документы: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а) справка о соответствии требованиям, предусмотренным </w:t>
      </w:r>
      <w:hyperlink w:anchor="P95">
        <w:r>
          <w:rPr>
            <w:color w:val="0000FF"/>
          </w:rPr>
          <w:t>подпунктом "а" пункта 2.3</w:t>
        </w:r>
      </w:hyperlink>
      <w:r>
        <w:t xml:space="preserve"> настоящего Порядка;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б) письменное согласие на осуществление Комитетом проверок соблюдения порядка и условий предоставления субсидии, в том числе в части достижения результатов предоставления субсидии, а также в соответствии со </w:t>
      </w:r>
      <w:hyperlink r:id="rId40">
        <w:r>
          <w:rPr>
            <w:color w:val="0000FF"/>
          </w:rPr>
          <w:t>статьями 268.1</w:t>
        </w:r>
      </w:hyperlink>
      <w:r>
        <w:t xml:space="preserve"> и </w:t>
      </w:r>
      <w:hyperlink r:id="rId41">
        <w:r>
          <w:rPr>
            <w:color w:val="0000FF"/>
          </w:rPr>
          <w:t>269.2</w:t>
        </w:r>
      </w:hyperlink>
      <w:r>
        <w:t xml:space="preserve"> Бюджетного кодекса Российской Федерации органами государственного финансового контроля Ленинградской области;</w:t>
      </w:r>
    </w:p>
    <w:p w:rsidR="00FF3B35" w:rsidRDefault="00FF3B35" w:rsidP="00FF3B3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17.11.2022 N 825)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в) 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г) согласие на обработку персональных данных физических лиц (руководителя, членов коллегиального исполнительного органа, лица, исполняющего функции единоличного исполнительного органа, главного бухгалтера участника отбора, являющегося юридическим лицом, индивидуального предпринимателя);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д) копии: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документов, указанных в </w:t>
      </w:r>
      <w:hyperlink w:anchor="P106">
        <w:r>
          <w:rPr>
            <w:color w:val="0000FF"/>
          </w:rPr>
          <w:t>подпункте "б" пункта 2.3</w:t>
        </w:r>
      </w:hyperlink>
      <w:r>
        <w:t xml:space="preserve"> настоящего Порядка;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документов, подтверждающих размер фактических затрат на строительство объекта заправки, из числа затрат, определенных в соответствии с </w:t>
      </w:r>
      <w:hyperlink w:anchor="P257">
        <w:r>
          <w:rPr>
            <w:color w:val="0000FF"/>
          </w:rPr>
          <w:t>приложением 2</w:t>
        </w:r>
      </w:hyperlink>
      <w:r>
        <w:t xml:space="preserve"> к настоящему Порядку;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документа, подтверждающего полномочия лица, подписавшего заявку, в случае если заявку подает лицо, сведения о котором как о лице, имеющем право без доверенности действовать от имени участника отбора, не содержатся в едином государственном реестре юридических лиц.</w:t>
      </w:r>
    </w:p>
    <w:p w:rsidR="00FF3B35" w:rsidRDefault="00FF3B35" w:rsidP="00FF3B35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17.11.2022 N 825)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bookmarkStart w:id="14" w:name="P137"/>
      <w:bookmarkEnd w:id="14"/>
      <w:r>
        <w:t xml:space="preserve">2.5. </w:t>
      </w:r>
      <w:proofErr w:type="gramStart"/>
      <w:r>
        <w:t xml:space="preserve">Заявка и прилагаемые к ней документы представляются участником отбора на бумажном </w:t>
      </w:r>
      <w:r>
        <w:lastRenderedPageBreak/>
        <w:t>носителе (заверенные подписью индивидуального предпринимателя или руководителя (уполномоченного представителя) юридического лица и печатью (при наличии печати) или на электронном носителе (заверенные электронно-цифровой подписью участника отбора в порядке, установленном действующим законодательством (при наличии электронно-цифровой подписи).</w:t>
      </w:r>
      <w:proofErr w:type="gramEnd"/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К документам, составленным на иностранном языке, прилагается письменный перевод на русский язык, правильность которого удостоверяется нотариусом в установленном законодательством порядке.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2.6. 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</w:t>
      </w:r>
      <w:proofErr w:type="gramStart"/>
      <w:r>
        <w:t>позднее</w:t>
      </w:r>
      <w:proofErr w:type="gramEnd"/>
      <w:r>
        <w:t xml:space="preserve"> чем за пять рабочих дней до дня окончания срока приема заявок.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Разъяснение положений объявления участнику отбора осуществляется Комитетом в течение трех рабочих дней со дня получения запроса. Запросы, поступившие </w:t>
      </w:r>
      <w:proofErr w:type="gramStart"/>
      <w:r>
        <w:t>позднее</w:t>
      </w:r>
      <w:proofErr w:type="gramEnd"/>
      <w:r>
        <w:t xml:space="preserve"> чем за пять рабочих дней до дня окончания срока приема заявок, не рассматриваются.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bookmarkStart w:id="15" w:name="P141"/>
      <w:bookmarkEnd w:id="15"/>
      <w:r>
        <w:t>2.7. Комитет принимает и регистрирует заявки в день их получения.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bookmarkStart w:id="16" w:name="P142"/>
      <w:bookmarkEnd w:id="16"/>
      <w:r>
        <w:t>2.8. Проверка достоверности сведений, содержащихся в заявках и прилагаемых документах, осуществляется в срок, не превышающий 20 рабочих дней после установленной в объявлении даты окончания приема заявок.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2.9. Для проведения отбора получателей субсидии проводится проверка комплектности представленных документов, достоверности сведений, содержащихся в заявках и прилагаемых к ним документах. Для проведения проверки образуется комиссия. Состав и положение о комиссии утверждаются правовым актом Комитета.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2.10. </w:t>
      </w:r>
      <w:proofErr w:type="gramStart"/>
      <w:r>
        <w:t>Проверка достоверности сведений осуществляется путем сопоставления информации, содержащейся в заявках и прилагаемых документах, с информацией, полученной из общедоступных источников способами, не запрещенными действующим законодательством, в том числе на соответствие сведениям, размещенным на официальных сайтах в сети "Интернет", а также путем направления запросов об отсутствии у участников отбора задолженности по уплате налогов, сборов, страховых взносов, пеней, штрафов, процентов, подлежащих уплате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о налогах и сборах.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Ответственность за достоверность сведений, представленных в заявке и прилагаемых к ней документах, несет участник отбора.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bookmarkStart w:id="17" w:name="P146"/>
      <w:bookmarkEnd w:id="17"/>
      <w:r>
        <w:t xml:space="preserve">2.11. </w:t>
      </w:r>
      <w:proofErr w:type="gramStart"/>
      <w:r>
        <w:t xml:space="preserve">По результатам заседания комиссии оформляется протокол, на основании которого и по результатам отбора получателей субсидии в соответствии с </w:t>
      </w:r>
      <w:hyperlink w:anchor="P77">
        <w:r>
          <w:rPr>
            <w:color w:val="0000FF"/>
          </w:rPr>
          <w:t>пунктом 2.1</w:t>
        </w:r>
      </w:hyperlink>
      <w:r>
        <w:t xml:space="preserve"> настоящего Порядка в срок, указанный в </w:t>
      </w:r>
      <w:hyperlink w:anchor="P142">
        <w:r>
          <w:rPr>
            <w:color w:val="0000FF"/>
          </w:rPr>
          <w:t>пункте 2.8</w:t>
        </w:r>
      </w:hyperlink>
      <w:r>
        <w:t xml:space="preserve"> настоящего Порядка, принимается решение в форме правового акта Комитета об отклонении заявки участника отбора, о предоставлении субсидии либо об отказе в предоставлении субсидии.</w:t>
      </w:r>
      <w:proofErr w:type="gramEnd"/>
    </w:p>
    <w:p w:rsidR="00FF3B35" w:rsidRDefault="00FF3B35" w:rsidP="00FF3B35">
      <w:pPr>
        <w:pStyle w:val="ConsPlusNormal"/>
        <w:spacing w:before="200"/>
        <w:ind w:firstLine="540"/>
        <w:jc w:val="both"/>
      </w:pPr>
      <w:bookmarkStart w:id="18" w:name="P147"/>
      <w:bookmarkEnd w:id="18"/>
      <w:r>
        <w:t>2.12. Основаниями для отклонения заявки участника отбора на стадии рассмотрения заявки являются: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несоответствие участника отбора категориям и требованиям, установленным в </w:t>
      </w:r>
      <w:hyperlink w:anchor="P68">
        <w:r>
          <w:rPr>
            <w:color w:val="0000FF"/>
          </w:rPr>
          <w:t>пунктах 1.4</w:t>
        </w:r>
      </w:hyperlink>
      <w:r>
        <w:t xml:space="preserve"> и </w:t>
      </w:r>
      <w:hyperlink w:anchor="P94">
        <w:r>
          <w:rPr>
            <w:color w:val="0000FF"/>
          </w:rPr>
          <w:t>2.3</w:t>
        </w:r>
      </w:hyperlink>
      <w:r>
        <w:t xml:space="preserve"> настоящего Порядка;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несоответствие представленной участником отбора заявки и документов требованиям, указанным в объявлении в соответствии с </w:t>
      </w:r>
      <w:hyperlink w:anchor="P78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подача участником отбора заявки после даты </w:t>
      </w:r>
      <w:proofErr w:type="gramStart"/>
      <w:r>
        <w:t>и(</w:t>
      </w:r>
      <w:proofErr w:type="gramEnd"/>
      <w:r>
        <w:t xml:space="preserve">или) времени, определенных для подачи заявок в соответствии с </w:t>
      </w:r>
      <w:hyperlink w:anchor="P78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2.13. В случае наличия оснований для отклонения заявки участника отбора Комитет в течение пяти рабочих дней со дня принятия правового акта, указанного в </w:t>
      </w:r>
      <w:hyperlink w:anchor="P146">
        <w:r>
          <w:rPr>
            <w:color w:val="0000FF"/>
          </w:rPr>
          <w:t>пункте 2.11</w:t>
        </w:r>
      </w:hyperlink>
      <w:r>
        <w:t xml:space="preserve"> настоящего Порядка, направляет участнику отбора уведомление с указанием причин отклонения заявки. Уведомление об отклонении заявки направляется в письменной форме на адрес электронной </w:t>
      </w:r>
      <w:r>
        <w:lastRenderedPageBreak/>
        <w:t>почты, указанный в заявке участника отбора.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bookmarkStart w:id="19" w:name="P153"/>
      <w:bookmarkEnd w:id="19"/>
      <w:r>
        <w:t>2.14. Основаниями для отказа в предоставлении субсидии являются: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несоответствие представленных документов требованиям, установленным </w:t>
      </w:r>
      <w:hyperlink w:anchor="P125">
        <w:r>
          <w:rPr>
            <w:color w:val="0000FF"/>
          </w:rPr>
          <w:t>пунктами 2.4</w:t>
        </w:r>
      </w:hyperlink>
      <w:r>
        <w:t xml:space="preserve"> и </w:t>
      </w:r>
      <w:hyperlink w:anchor="P137">
        <w:r>
          <w:rPr>
            <w:color w:val="0000FF"/>
          </w:rPr>
          <w:t>2.5</w:t>
        </w:r>
      </w:hyperlink>
      <w:r>
        <w:t xml:space="preserve"> настоящего Порядка;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установление факта недостоверности представленной информации.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2.15. </w:t>
      </w:r>
      <w:proofErr w:type="gramStart"/>
      <w:r>
        <w:t>В случае наличия оснований для отказа в предоставлении субсидии Комитет в течение пяти рабочих дней с даты</w:t>
      </w:r>
      <w:proofErr w:type="gramEnd"/>
      <w:r>
        <w:t xml:space="preserve"> принятия правового акта, указанного в </w:t>
      </w:r>
      <w:hyperlink w:anchor="P146">
        <w:r>
          <w:rPr>
            <w:color w:val="0000FF"/>
          </w:rPr>
          <w:t>пункте 2.11</w:t>
        </w:r>
      </w:hyperlink>
      <w:r>
        <w:t xml:space="preserve"> настоящего Порядка, направляет участнику отбора уведомление об отказе в предоставлении субсидии с указанием причин отказа. Уведомление об отказе в предоставлении субсидии направляется в письменной форме на адрес электронной почты, указанный в заявке участника отбора.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2.16. В случае отклонения заявки, отказа в предоставлении субсидии представленные участником отбора в соответствии с </w:t>
      </w:r>
      <w:hyperlink w:anchor="P125">
        <w:r>
          <w:rPr>
            <w:color w:val="0000FF"/>
          </w:rPr>
          <w:t>пунктом 2.4</w:t>
        </w:r>
      </w:hyperlink>
      <w:r>
        <w:t xml:space="preserve"> настоящего Порядка документы возвращаются по письменному требованию участника отбора в течение двух рабочих дней </w:t>
      </w:r>
      <w:proofErr w:type="gramStart"/>
      <w:r>
        <w:t>с даты получения</w:t>
      </w:r>
      <w:proofErr w:type="gramEnd"/>
      <w:r>
        <w:t xml:space="preserve"> Комитетом такого требования.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2.17. Комитет в течение двух рабочих дней со дня принятия правового акта, указанного в </w:t>
      </w:r>
      <w:hyperlink w:anchor="P146">
        <w:r>
          <w:rPr>
            <w:color w:val="0000FF"/>
          </w:rPr>
          <w:t>пункте 2.11</w:t>
        </w:r>
      </w:hyperlink>
      <w:r>
        <w:t xml:space="preserve"> настоящего Порядка, размещает на едином портале бюджетной системы Российской Федерации в сети "Интернет" (при наличии технической возможности) и на официальном сайте Комитета в сети "Интернет" информацию о результатах конкурсного отбора, включающую: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дату, время и место проведения рассмотрения заявок;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proofErr w:type="gramStart"/>
      <w:r>
        <w:t>информацию об участниках отбора, заявки которых были рассмотрены;</w:t>
      </w:r>
      <w:proofErr w:type="gramEnd"/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наименование получателя (получателей) субсидии, с которым (с которыми) заключается соглашение, и размер предоставляемой субсидии.</w:t>
      </w: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ind w:firstLine="540"/>
        <w:jc w:val="both"/>
      </w:pPr>
      <w:r>
        <w:t>3.1. Субсидия предоставляется при соблюдении следующих условий: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а) соответствие получателя субсидии на дату, определенную </w:t>
      </w:r>
      <w:hyperlink w:anchor="P94">
        <w:r>
          <w:rPr>
            <w:color w:val="0000FF"/>
          </w:rPr>
          <w:t>пунктом 2.3</w:t>
        </w:r>
      </w:hyperlink>
      <w:r>
        <w:t xml:space="preserve"> настоящего Порядка, требованиям, установленным </w:t>
      </w:r>
      <w:hyperlink w:anchor="P94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proofErr w:type="gramStart"/>
      <w:r>
        <w:t>б) заключения между Комитетом и получателем субсидии соглашения в государственной интегрированной информационной системе управления общественными финансами "Электронный бюджет" в соответствии с типовой формой, утвержденной нормативным правовым актом Комитета финансов Ленинградской области, или в соответствии с типовой формой, установленной Министерством финансов Российской Федерации в случае, если данное требование установлено в соглашении между Правительством Ленинградской области и федеральным органом исполнительной власти о</w:t>
      </w:r>
      <w:proofErr w:type="gramEnd"/>
      <w:r>
        <w:t xml:space="preserve"> </w:t>
      </w:r>
      <w:proofErr w:type="gramStart"/>
      <w:r>
        <w:t xml:space="preserve">предоставлении субсидии из федерального бюджета бюджету субъекта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субъекта Российской Федерации, возникающих при развитии заправочной инфраструктуры компримированного природного газа (далее - система "Электронный бюджет", соглашение).</w:t>
      </w:r>
      <w:proofErr w:type="gramEnd"/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3.2. Комитет не позднее 10 рабочих дней со дня принятия правового акта, указанного в </w:t>
      </w:r>
      <w:hyperlink w:anchor="P146">
        <w:r>
          <w:rPr>
            <w:color w:val="0000FF"/>
          </w:rPr>
          <w:t>пункте 2.11</w:t>
        </w:r>
      </w:hyperlink>
      <w:r>
        <w:t xml:space="preserve"> настоящего Порядка, формирует проект соглашения в системе "Электронный бюджет" и уведомляет победителя (победителей) отбора о необходимости его подписания.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3.3. </w:t>
      </w:r>
      <w:proofErr w:type="gramStart"/>
      <w:r>
        <w:t>В случае если в срок, не превышающий 10 рабочих дней, соглашение не заключено, победитель (победители) отбора, не подписавший (не подписавшие) соглашение, признается (признаются) уклонившимся (уклонившимися) от заключения соглашения и субсидия ему (им) не предоставляется.</w:t>
      </w:r>
      <w:proofErr w:type="gramEnd"/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3.4. Соглашение заключается в форме электронного документа в системе "Электронный бюджет" и содержит в том числе: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а) условие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  <w:proofErr w:type="gramEnd"/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б) условие о возврате полученной субсидии и об уплате неустойки в случаях, порядке и в размере, предусмотренных </w:t>
      </w:r>
      <w:hyperlink w:anchor="P205">
        <w:r>
          <w:rPr>
            <w:color w:val="0000FF"/>
          </w:rPr>
          <w:t>пунктами 5.2</w:t>
        </w:r>
      </w:hyperlink>
      <w:r>
        <w:t xml:space="preserve"> - </w:t>
      </w:r>
      <w:hyperlink w:anchor="P210">
        <w:r>
          <w:rPr>
            <w:color w:val="0000FF"/>
          </w:rPr>
          <w:t>5.4</w:t>
        </w:r>
      </w:hyperlink>
      <w:r>
        <w:t xml:space="preserve"> настоящего Порядка.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3.5. Новые условия соглашения, а также расторжение соглашения оформляются в виде дополнительного соглашения (дополнительного соглашения о расторжении соглашения) в системе "Электронный бюджет".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3.6. </w:t>
      </w:r>
      <w:proofErr w:type="gramStart"/>
      <w:r>
        <w:t>Размер субсидии на один объект заправки транспортных средств компримированным природным газом определяется в размере фактических затрат на строительство объекта заправки транспортных средств компримированным природным газом, включая в том числе затраты на приобретение земельного участка, на подготовку территории строительства, на подключение к наружным сетям электроснабжения, водоснабжения, водоотведения, теплоснабжения и газоснабжения, на выполнение земляных работ, на разработку проектной документации, на выполнение строительно-монтажных</w:t>
      </w:r>
      <w:proofErr w:type="gramEnd"/>
      <w:r>
        <w:t xml:space="preserve"> работ, на закупку и монтаж оборудования. Указанные фактические затраты должны быть документально подтверждены и представлены к возмещению получателем субсидии в размере не более 36 </w:t>
      </w:r>
      <w:proofErr w:type="gramStart"/>
      <w:r>
        <w:t>млн</w:t>
      </w:r>
      <w:proofErr w:type="gramEnd"/>
      <w:r>
        <w:t xml:space="preserve"> рублей.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Размер субсидии определяется по формуле:</w:t>
      </w: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68580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ind w:firstLine="540"/>
        <w:jc w:val="both"/>
      </w:pPr>
      <w:r>
        <w:t>где: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размер субсидии, рассчитанный i-</w:t>
      </w:r>
      <w:proofErr w:type="spellStart"/>
      <w:r>
        <w:t>му</w:t>
      </w:r>
      <w:proofErr w:type="spellEnd"/>
      <w:r>
        <w:t xml:space="preserve"> получателю субсидии;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gramStart"/>
      <w:r>
        <w:rPr>
          <w:vertAlign w:val="subscript"/>
        </w:rPr>
        <w:t>j</w:t>
      </w:r>
      <w:proofErr w:type="spellEnd"/>
      <w:proofErr w:type="gramEnd"/>
      <w:r>
        <w:t xml:space="preserve"> - размер фактических затрат на строительство j-</w:t>
      </w:r>
      <w:proofErr w:type="spellStart"/>
      <w:r>
        <w:t>го</w:t>
      </w:r>
      <w:proofErr w:type="spellEnd"/>
      <w:r>
        <w:t xml:space="preserve"> объекта заправки, рассчитанный в соответствии с </w:t>
      </w:r>
      <w:hyperlink w:anchor="P257">
        <w:r>
          <w:rPr>
            <w:color w:val="0000FF"/>
          </w:rPr>
          <w:t>приложением 2</w:t>
        </w:r>
      </w:hyperlink>
      <w:r>
        <w:t xml:space="preserve"> к настоящему Порядку, без учета налога на добавленную стоимость.</w:t>
      </w: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ind w:firstLine="540"/>
        <w:jc w:val="both"/>
      </w:pPr>
      <w:r>
        <w:t xml:space="preserve">3.7. При </w:t>
      </w:r>
      <w:proofErr w:type="gramStart"/>
      <w:r>
        <w:t>недостаточности в</w:t>
      </w:r>
      <w:proofErr w:type="gramEnd"/>
      <w:r>
        <w:t xml:space="preserve"> областном бюджете Ленинградской области на соответствующий финансовый год бюджетных ассигнований для выплаты субсидии ассигнования распределяются с учетом очередности по дате регистрации заявок.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3.8. При наличии нераспределенного остатка бюджетных ассигнований для выплаты субсидии </w:t>
      </w:r>
      <w:proofErr w:type="gramStart"/>
      <w:r>
        <w:t>и(</w:t>
      </w:r>
      <w:proofErr w:type="gramEnd"/>
      <w:r>
        <w:t xml:space="preserve">или) увеличении объема бюджетных ассигнований федерального бюджета и(или) областного бюджета Ленинградской области Комитет повторно проводит отбор в порядке, установленном </w:t>
      </w:r>
      <w:hyperlink w:anchor="P74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bookmarkStart w:id="20" w:name="P186"/>
      <w:bookmarkEnd w:id="20"/>
      <w:r>
        <w:t>3.9. Результатом предоставления субсидии является увеличение количества объектов заправки транспортных средств компримированным природным газом, введенных в эксплуатацию.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Показателем, необходимым для достижения результата предоставления субсидии, является количество объектов заправки транспортных средств компримированным природным газом, введенных в эксплуатацию в текущем году. Значение показателя, необходимого для достижения результата предоставления субсидии, устанавливается соглашением.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3.10. Перечисление субсидии осуществляется Комитетом финансов Ленинградской области в установленном порядке не позднее 10-го рабочего дня, следующего за днем принятия решения о перечислении субсидии, указанного в </w:t>
      </w:r>
      <w:hyperlink w:anchor="P146">
        <w:r>
          <w:rPr>
            <w:color w:val="0000FF"/>
          </w:rPr>
          <w:t>пункте 2.11</w:t>
        </w:r>
      </w:hyperlink>
      <w:r>
        <w:t xml:space="preserve"> настоящего Порядка, на основании заявок на расход, сформированных Комитетом.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3.11. Перечисление субсидии осуществляется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3.12. В случае нарушения получателем субсидии </w:t>
      </w:r>
      <w:proofErr w:type="gramStart"/>
      <w:r>
        <w:t>условий предоставления субсидии средства субсидии</w:t>
      </w:r>
      <w:proofErr w:type="gramEnd"/>
      <w:r>
        <w:t xml:space="preserve"> возвращаются в областной бюджет Ленинградской области в порядке и в сроки, определенные </w:t>
      </w:r>
      <w:hyperlink w:anchor="P205">
        <w:r>
          <w:rPr>
            <w:color w:val="0000FF"/>
          </w:rPr>
          <w:t>пунктами 5.2</w:t>
        </w:r>
      </w:hyperlink>
      <w:r>
        <w:t xml:space="preserve"> - </w:t>
      </w:r>
      <w:hyperlink w:anchor="P210">
        <w:r>
          <w:rPr>
            <w:color w:val="0000FF"/>
          </w:rPr>
          <w:t>5.4</w:t>
        </w:r>
      </w:hyperlink>
      <w:r>
        <w:t xml:space="preserve"> настоящего Порядка.</w:t>
      </w: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Title"/>
        <w:jc w:val="center"/>
        <w:outlineLvl w:val="1"/>
      </w:pPr>
      <w:r>
        <w:lastRenderedPageBreak/>
        <w:t>4. Требования к отчетности</w:t>
      </w: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ind w:firstLine="540"/>
        <w:jc w:val="both"/>
      </w:pPr>
      <w:r>
        <w:t>4.1. Получатели субсидии представляют в Комитет отчет о достижении результата и показателей, необходимых для достижения результата предоставления субсидии, по форме, установленной соглашением, - не позднее 10-го числа месяца, следующего за кварталом, в котором была получена субсидия.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4.2. Получатели субсидии несут ответственность за своевременность представления отчетов и достоверность сведений, предусмотренных настоящим Порядком и соглашением.</w:t>
      </w: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Title"/>
        <w:jc w:val="center"/>
        <w:outlineLvl w:val="1"/>
      </w:pPr>
      <w:r>
        <w:t>5. Требования об осуществлении контроля (мониторинга)</w:t>
      </w:r>
    </w:p>
    <w:p w:rsidR="00FF3B35" w:rsidRDefault="00FF3B35" w:rsidP="00FF3B35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FF3B35" w:rsidRDefault="00FF3B35" w:rsidP="00FF3B35">
      <w:pPr>
        <w:pStyle w:val="ConsPlusTitle"/>
        <w:jc w:val="center"/>
      </w:pPr>
      <w:r>
        <w:t>и ответственности за их нарушение</w:t>
      </w:r>
    </w:p>
    <w:p w:rsidR="00FF3B35" w:rsidRDefault="00FF3B35" w:rsidP="00FF3B35">
      <w:pPr>
        <w:pStyle w:val="ConsPlusNormal"/>
        <w:jc w:val="center"/>
      </w:pPr>
      <w:proofErr w:type="gramStart"/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FF3B35" w:rsidRDefault="00FF3B35" w:rsidP="00FF3B35">
      <w:pPr>
        <w:pStyle w:val="ConsPlusNormal"/>
        <w:jc w:val="center"/>
      </w:pPr>
      <w:r>
        <w:t>от 17.11.2022 N 825)</w:t>
      </w:r>
    </w:p>
    <w:p w:rsidR="00FF3B35" w:rsidRDefault="00FF3B35" w:rsidP="00FF3B35">
      <w:pPr>
        <w:pStyle w:val="ConsPlusNormal"/>
        <w:jc w:val="center"/>
      </w:pPr>
    </w:p>
    <w:p w:rsidR="00FF3B35" w:rsidRDefault="00FF3B35" w:rsidP="00FF3B35">
      <w:pPr>
        <w:pStyle w:val="ConsPlusNormal"/>
        <w:ind w:firstLine="540"/>
        <w:jc w:val="both"/>
      </w:pPr>
      <w:r>
        <w:t xml:space="preserve">5.1. Проверка соблюдения получателями субсидии порядка и условий предоставления субсидии, в том числе в части достижения результатов предоставления субсидии осуществляется Комитетом, а также в соответствии со </w:t>
      </w:r>
      <w:hyperlink r:id="rId46">
        <w:r>
          <w:rPr>
            <w:color w:val="0000FF"/>
          </w:rPr>
          <w:t>статьями 268.1</w:t>
        </w:r>
      </w:hyperlink>
      <w:r>
        <w:t xml:space="preserve"> и </w:t>
      </w:r>
      <w:hyperlink r:id="rId47">
        <w:r>
          <w:rPr>
            <w:color w:val="0000FF"/>
          </w:rPr>
          <w:t>269.2</w:t>
        </w:r>
      </w:hyperlink>
      <w:r>
        <w:t xml:space="preserve"> Бюджетного кодекса Российской Федерации органами государственного финансового контроля Ленинградской области.</w:t>
      </w:r>
    </w:p>
    <w:p w:rsidR="00FF3B35" w:rsidRDefault="00FF3B35" w:rsidP="00FF3B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17.11.2022 N 825)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bookmarkStart w:id="21" w:name="P205"/>
      <w:bookmarkEnd w:id="21"/>
      <w:r>
        <w:t xml:space="preserve">5.2. </w:t>
      </w:r>
      <w:proofErr w:type="gramStart"/>
      <w:r>
        <w:t xml:space="preserve">В случае установления Комитетом и органами государственного финансового контроля Ленинградской области факта несоблюдения условий и порядка предоставления субсидии, в том числе по фактам проверок, а также в случае </w:t>
      </w:r>
      <w:proofErr w:type="spellStart"/>
      <w:r>
        <w:t>недостижения</w:t>
      </w:r>
      <w:proofErr w:type="spellEnd"/>
      <w:r>
        <w:t xml:space="preserve"> значения результата предоставления субсидии и показателей, необходимых для достижения результата предоставления субсидии, соответствующие средства подлежат возврату в доход областного бюджета Ленинградской области:</w:t>
      </w:r>
      <w:proofErr w:type="gramEnd"/>
    </w:p>
    <w:p w:rsidR="00FF3B35" w:rsidRDefault="00FF3B35" w:rsidP="00FF3B35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17.11.2022 N 825)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на основании письменного требования Комитета - не позднее 30 календарных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5.3. Если по истечении срока, указанного в </w:t>
      </w:r>
      <w:hyperlink w:anchor="P205">
        <w:r>
          <w:rPr>
            <w:color w:val="0000FF"/>
          </w:rPr>
          <w:t>пункте 5.2</w:t>
        </w:r>
      </w:hyperlink>
      <w:r>
        <w:t xml:space="preserve"> настоящего Порядка, получатель субсидии отказывается возвращать субсидию, взыскание денежных средств осуществляется в соответствии с действующим законодательством.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bookmarkStart w:id="22" w:name="P210"/>
      <w:bookmarkEnd w:id="22"/>
      <w:r>
        <w:t>5.4. В случае неисполнения обязательств по возврату субсидии в областной бюджет Ленинградской области на получателя субсидии налагаются штрафные санкции в размере 0,1 процента суммы субсидии за каждый день просрочки обязательств по возврату.</w:t>
      </w:r>
    </w:p>
    <w:p w:rsidR="00FF3B35" w:rsidRDefault="00FF3B35" w:rsidP="00FF3B35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3B35" w:rsidTr="004933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3B35" w:rsidRDefault="00FF3B35" w:rsidP="0049332A">
            <w:pPr>
              <w:pStyle w:val="ConsPlusNormal"/>
              <w:jc w:val="both"/>
            </w:pPr>
            <w:r>
              <w:rPr>
                <w:color w:val="392C69"/>
              </w:rPr>
              <w:t>П. 5.5 вступает в силу с 01.01.2023 (</w:t>
            </w:r>
            <w:hyperlink r:id="rId50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постановления Правительства Ленинградской области от 17.11.2022 N 825).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</w:tr>
    </w:tbl>
    <w:p w:rsidR="00FF3B35" w:rsidRDefault="00FF3B35" w:rsidP="00FF3B35">
      <w:pPr>
        <w:pStyle w:val="ConsPlusNormal"/>
        <w:spacing w:before="260"/>
        <w:ind w:firstLine="540"/>
        <w:jc w:val="both"/>
      </w:pPr>
      <w:r>
        <w:t>5.5. Комитетом проводится мониторинг достижения результата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FF3B35" w:rsidRDefault="00FF3B35" w:rsidP="00FF3B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5.5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17.11.2022 N 825)</w:t>
      </w: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jc w:val="right"/>
        <w:outlineLvl w:val="1"/>
      </w:pPr>
      <w:r>
        <w:t>Приложение 1</w:t>
      </w:r>
    </w:p>
    <w:p w:rsidR="00FF3B35" w:rsidRDefault="00FF3B35" w:rsidP="00FF3B35">
      <w:pPr>
        <w:pStyle w:val="ConsPlusNormal"/>
        <w:jc w:val="right"/>
      </w:pPr>
      <w:r>
        <w:t>к Порядку...</w:t>
      </w: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Title"/>
        <w:jc w:val="center"/>
      </w:pPr>
      <w:bookmarkStart w:id="23" w:name="P222"/>
      <w:bookmarkEnd w:id="23"/>
      <w:r>
        <w:t>ТРЕБОВАНИЯ</w:t>
      </w:r>
    </w:p>
    <w:p w:rsidR="00FF3B35" w:rsidRDefault="00FF3B35" w:rsidP="00FF3B35">
      <w:pPr>
        <w:pStyle w:val="ConsPlusTitle"/>
        <w:jc w:val="center"/>
      </w:pPr>
      <w:r>
        <w:t>К ОБЪЕКТАМ ЗАПРАВКИ ТРАНСПОРТНЫХ СРЕДСТВ КОМПРИМИРОВАННЫМ</w:t>
      </w:r>
    </w:p>
    <w:p w:rsidR="00FF3B35" w:rsidRDefault="00FF3B35" w:rsidP="00FF3B35">
      <w:pPr>
        <w:pStyle w:val="ConsPlusTitle"/>
        <w:jc w:val="center"/>
      </w:pPr>
      <w:r>
        <w:lastRenderedPageBreak/>
        <w:t>ПРИРОДНЫМ ГАЗОМ</w:t>
      </w:r>
    </w:p>
    <w:p w:rsidR="00FF3B35" w:rsidRDefault="00FF3B35" w:rsidP="00FF3B35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3B35" w:rsidTr="004933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3B35" w:rsidRDefault="00FF3B35" w:rsidP="00493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B35" w:rsidRDefault="00FF3B35" w:rsidP="004933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FF3B35" w:rsidRDefault="00FF3B35" w:rsidP="0049332A">
            <w:pPr>
              <w:pStyle w:val="ConsPlusNormal"/>
              <w:jc w:val="center"/>
            </w:pPr>
            <w:r>
              <w:rPr>
                <w:color w:val="392C69"/>
              </w:rPr>
              <w:t>от 17.11.2022 N 825)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</w:tr>
    </w:tbl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ind w:firstLine="540"/>
        <w:jc w:val="both"/>
      </w:pPr>
      <w:r>
        <w:t>Объекты заправки транспортных средств компримированным природным газом должны соответствовать следующим требованиям: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1. Объект заправки расположен на территории Ленинградской области.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bookmarkStart w:id="24" w:name="P231"/>
      <w:bookmarkEnd w:id="24"/>
      <w:r>
        <w:t xml:space="preserve">2. Суммарная выходная мощность компрессорного оборудования на верхней границе диапазона входного давления </w:t>
      </w:r>
      <w:proofErr w:type="gramStart"/>
      <w:r>
        <w:t>и(</w:t>
      </w:r>
      <w:proofErr w:type="gramEnd"/>
      <w:r>
        <w:t xml:space="preserve">или) </w:t>
      </w:r>
      <w:proofErr w:type="spellStart"/>
      <w:r>
        <w:t>регазификационного</w:t>
      </w:r>
      <w:proofErr w:type="spellEnd"/>
      <w:r>
        <w:t xml:space="preserve"> оборудования объекта заправки транспортных средств компримированным природным газом (далее - объект заправки) не менее 500 м</w:t>
      </w:r>
      <w:r>
        <w:rPr>
          <w:vertAlign w:val="superscript"/>
        </w:rPr>
        <w:t>3</w:t>
      </w:r>
      <w:r>
        <w:t>/ч.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3. Количество постов заправки компримированным природным газом (пистолетов) на объекте заправки не менее четырех.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4. Общий объем блоков аккумуляторов газа на объекте заправки не менее 2000 литров (в случае указанной в </w:t>
      </w:r>
      <w:hyperlink w:anchor="P231">
        <w:r>
          <w:rPr>
            <w:color w:val="0000FF"/>
          </w:rPr>
          <w:t>пункте 2</w:t>
        </w:r>
      </w:hyperlink>
      <w:r>
        <w:t xml:space="preserve"> настоящих Требований мощности объекта заправки не менее 1000 м</w:t>
      </w:r>
      <w:r>
        <w:rPr>
          <w:vertAlign w:val="superscript"/>
        </w:rPr>
        <w:t>3</w:t>
      </w:r>
      <w:r>
        <w:t>/ч - не менее 1000 литров).</w:t>
      </w:r>
    </w:p>
    <w:p w:rsidR="00FF3B35" w:rsidRDefault="00FF3B35" w:rsidP="00FF3B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17.11.2022 N 825)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5. В случае строительства объекта заправки в виде </w:t>
      </w:r>
      <w:proofErr w:type="spellStart"/>
      <w:r>
        <w:t>КриоАЗС</w:t>
      </w:r>
      <w:proofErr w:type="spellEnd"/>
      <w:r>
        <w:t xml:space="preserve"> - объем криогенных резервуаров не менее 25 м</w:t>
      </w:r>
      <w:r>
        <w:rPr>
          <w:vertAlign w:val="superscript"/>
        </w:rPr>
        <w:t>3</w:t>
      </w:r>
      <w:r>
        <w:t>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Оборудование (узлы учета и блоки входных кранов, блоки осушки (очистки), </w:t>
      </w:r>
      <w:proofErr w:type="spellStart"/>
      <w:r>
        <w:t>газосборники</w:t>
      </w:r>
      <w:proofErr w:type="spellEnd"/>
      <w:r>
        <w:t xml:space="preserve">, компрессоры, системы управления компрессорами, системы охлаждения, панели приоритетов, газовые баллоны, газораздаточные колонки, криогенные резервуары, </w:t>
      </w:r>
      <w:proofErr w:type="spellStart"/>
      <w:r>
        <w:t>регазификаторы</w:t>
      </w:r>
      <w:proofErr w:type="spellEnd"/>
      <w:r>
        <w:t>, регулирующая и запорная арматура) - новое (ранее не бывшее в употреблении).</w:t>
      </w:r>
      <w:proofErr w:type="gramEnd"/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Использование при строительстве объекта заправки оборудования, произведенного на территории Российской Федерации в соответствии с критериями и порядком подтверждения, установленными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года N 719 "О подтверждении производства промышленной продукции на территории Российской Федерации":</w:t>
      </w:r>
      <w:proofErr w:type="gramEnd"/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с 2022 года: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в случае реализации инвестиционного проекта по строительству объекта контейнерного типа - автомобильной газонаполнительной компрессорной станции;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в случае реализации инвестиционного проекта по строительству объекта модульного типа - автомобильной газонаполнительной компрессорной станции, заправочных колонок;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в случае реализации инвестиционного проекта по строительству </w:t>
      </w:r>
      <w:proofErr w:type="spellStart"/>
      <w:r>
        <w:t>КриоАЗС</w:t>
      </w:r>
      <w:proofErr w:type="spellEnd"/>
      <w:r>
        <w:t xml:space="preserve"> - блоков аккумуляторов газа, заправочных колонок;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в ином случае - компрессорных установок, блоков аккумуляторов газа, заправочных колонок;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с 2023 года: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в случае реализации инвестиционного проекта по строительству объекта контейнерного типа - автомобильной газонаполнительной компрессорной станции;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в случае реализации инвестиционного проекта по строительству объекта модульного типа - автомобильной газонаполнительной компрессорной станции, заправочных колонок;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в случае реализации инвестиционного проекта по строительству </w:t>
      </w:r>
      <w:proofErr w:type="spellStart"/>
      <w:r>
        <w:t>КриоАЗС</w:t>
      </w:r>
      <w:proofErr w:type="spellEnd"/>
      <w:r>
        <w:t xml:space="preserve"> - блоков аккумуляторов газа, заправочных колонок;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в ином случае - компрессоров, блоков аккумуляторов газа, заправочных колонок, блоков осушки (очистки).</w:t>
      </w:r>
    </w:p>
    <w:p w:rsidR="00FF3B35" w:rsidRDefault="00FF3B35" w:rsidP="00FF3B35">
      <w:pPr>
        <w:pStyle w:val="ConsPlusNormal"/>
        <w:jc w:val="both"/>
      </w:pPr>
      <w:r>
        <w:lastRenderedPageBreak/>
        <w:t xml:space="preserve">(п. 7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17.11.2022 N 825)</w:t>
      </w: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jc w:val="right"/>
        <w:outlineLvl w:val="1"/>
      </w:pPr>
      <w:r>
        <w:t>Приложение 2</w:t>
      </w:r>
    </w:p>
    <w:p w:rsidR="00FF3B35" w:rsidRDefault="00FF3B35" w:rsidP="00FF3B35">
      <w:pPr>
        <w:pStyle w:val="ConsPlusNormal"/>
        <w:jc w:val="right"/>
      </w:pPr>
      <w:r>
        <w:t>к Порядку...</w:t>
      </w: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Title"/>
        <w:jc w:val="center"/>
      </w:pPr>
      <w:bookmarkStart w:id="25" w:name="P257"/>
      <w:bookmarkEnd w:id="25"/>
      <w:r>
        <w:t>ТРЕБОВАНИЯ</w:t>
      </w:r>
    </w:p>
    <w:p w:rsidR="00FF3B35" w:rsidRDefault="00FF3B35" w:rsidP="00FF3B35">
      <w:pPr>
        <w:pStyle w:val="ConsPlusTitle"/>
        <w:jc w:val="center"/>
      </w:pPr>
      <w:r>
        <w:t>К ПОРЯДКУ ОПРЕДЕЛЕНИЯ РАЗМЕРА ФАКТИЧЕСКИХ ЗАТРАТ</w:t>
      </w:r>
    </w:p>
    <w:p w:rsidR="00FF3B35" w:rsidRDefault="00FF3B35" w:rsidP="00FF3B35">
      <w:pPr>
        <w:pStyle w:val="ConsPlusTitle"/>
        <w:jc w:val="center"/>
      </w:pPr>
      <w:r>
        <w:t>НА СТРОИТЕЛЬСТВО ОБЪЕКТОВ ЗАПРАВКИ ТРАНСПОРТНЫХ</w:t>
      </w:r>
    </w:p>
    <w:p w:rsidR="00FF3B35" w:rsidRDefault="00FF3B35" w:rsidP="00FF3B35">
      <w:pPr>
        <w:pStyle w:val="ConsPlusTitle"/>
        <w:jc w:val="center"/>
      </w:pPr>
      <w:r>
        <w:t>СРЕДСТВ ПРИРОДНЫМ ГАЗОМ</w:t>
      </w:r>
    </w:p>
    <w:p w:rsidR="00FF3B35" w:rsidRDefault="00FF3B35" w:rsidP="00FF3B35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3B35" w:rsidTr="004933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3B35" w:rsidRDefault="00FF3B35" w:rsidP="00493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B35" w:rsidRDefault="00FF3B35" w:rsidP="004933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FF3B35" w:rsidRDefault="00FF3B35" w:rsidP="0049332A">
            <w:pPr>
              <w:pStyle w:val="ConsPlusNormal"/>
              <w:jc w:val="center"/>
            </w:pPr>
            <w:r>
              <w:rPr>
                <w:color w:val="392C69"/>
              </w:rPr>
              <w:t>от 17.11.2022 N 825)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</w:tr>
    </w:tbl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ind w:firstLine="540"/>
        <w:jc w:val="both"/>
      </w:pPr>
      <w:proofErr w:type="gramStart"/>
      <w:r>
        <w:t>К возмещению за счет субсидии принимаются документально подтвержденные фактические затраты, осуществленные на строительство объектов заправки транспортных средств компримированным природным газом (далее - объекты заправки), по которым разрешение на ввод в эксплуатацию получено в текущем году, и представленные к возмещению получателем субсидии в текущем году, в том числе затраты на приобретение земельного участка, подготовку территории строительства, подключение к наружным сетям водоснабжения, водоотведения</w:t>
      </w:r>
      <w:proofErr w:type="gramEnd"/>
      <w:r>
        <w:t>, теплоснабжения и газоснабжения, выполнение земляных работ, разработку проектной документации, выполнение строительно-монтажных работ, закупку и монтаж оборудования.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Размер фактических затрат на один объект заправки определяется по формуле:</w:t>
      </w: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j</w:t>
      </w:r>
      <w:proofErr w:type="spellEnd"/>
      <w:r>
        <w:t xml:space="preserve"> &lt;= </w:t>
      </w:r>
      <w:proofErr w:type="spellStart"/>
      <w:r>
        <w:t>З</w:t>
      </w:r>
      <w:r>
        <w:rPr>
          <w:vertAlign w:val="subscript"/>
        </w:rPr>
        <w:t>з</w:t>
      </w:r>
      <w:proofErr w:type="gramStart"/>
      <w:r>
        <w:rPr>
          <w:vertAlign w:val="subscript"/>
        </w:rPr>
        <w:t>.у</w:t>
      </w:r>
      <w:proofErr w:type="gramEnd"/>
      <w:r>
        <w:rPr>
          <w:vertAlign w:val="subscript"/>
        </w:rPr>
        <w:t>ч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подг.стр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з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псд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смр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обор</w:t>
      </w:r>
      <w:proofErr w:type="spellEnd"/>
      <w:r>
        <w:t>,</w:t>
      </w: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ind w:firstLine="540"/>
        <w:jc w:val="both"/>
      </w:pPr>
      <w:r>
        <w:t>где: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proofErr w:type="spellStart"/>
      <w:r>
        <w:t>З</w:t>
      </w:r>
      <w:r>
        <w:rPr>
          <w:vertAlign w:val="subscript"/>
        </w:rPr>
        <w:t>j</w:t>
      </w:r>
      <w:proofErr w:type="spellEnd"/>
      <w:r>
        <w:t xml:space="preserve"> - размер фактических затрат на строительство одного объекта заправки, без учета налога на добавленную стоимость, равный не более 36 </w:t>
      </w:r>
      <w:proofErr w:type="gramStart"/>
      <w:r>
        <w:t>млн</w:t>
      </w:r>
      <w:proofErr w:type="gramEnd"/>
      <w:r>
        <w:t xml:space="preserve"> руб. и не более предъявленной получателем субсидии суммы к возмещению фактически произведенных затрат (расходов);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proofErr w:type="spellStart"/>
      <w:r>
        <w:t>З</w:t>
      </w:r>
      <w:r>
        <w:rPr>
          <w:vertAlign w:val="subscript"/>
        </w:rPr>
        <w:t>з</w:t>
      </w:r>
      <w:proofErr w:type="gramStart"/>
      <w:r>
        <w:rPr>
          <w:vertAlign w:val="subscript"/>
        </w:rPr>
        <w:t>.у</w:t>
      </w:r>
      <w:proofErr w:type="gramEnd"/>
      <w:r>
        <w:rPr>
          <w:vertAlign w:val="subscript"/>
        </w:rPr>
        <w:t>ч</w:t>
      </w:r>
      <w:proofErr w:type="spellEnd"/>
      <w:r>
        <w:t xml:space="preserve"> - затраты на приобретение земельного участка;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proofErr w:type="spellStart"/>
      <w:r>
        <w:t>З</w:t>
      </w:r>
      <w:r>
        <w:rPr>
          <w:vertAlign w:val="subscript"/>
        </w:rPr>
        <w:t>подг</w:t>
      </w:r>
      <w:proofErr w:type="gramStart"/>
      <w:r>
        <w:rPr>
          <w:vertAlign w:val="subscript"/>
        </w:rPr>
        <w:t>.с</w:t>
      </w:r>
      <w:proofErr w:type="gramEnd"/>
      <w:r>
        <w:rPr>
          <w:vertAlign w:val="subscript"/>
        </w:rPr>
        <w:t>тр</w:t>
      </w:r>
      <w:proofErr w:type="spellEnd"/>
      <w:r>
        <w:t xml:space="preserve"> - затраты на подготовку территории строительства;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proofErr w:type="spellStart"/>
      <w:r>
        <w:t>З</w:t>
      </w:r>
      <w:r>
        <w:rPr>
          <w:vertAlign w:val="subscript"/>
        </w:rPr>
        <w:t>с</w:t>
      </w:r>
      <w:proofErr w:type="spellEnd"/>
      <w:r>
        <w:t xml:space="preserve"> - затраты на подключение к наружным сетям электроснабжения, водоснабжения, водоотведения, теплоснабжения и газоснабжения;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proofErr w:type="spellStart"/>
      <w:r>
        <w:t>З</w:t>
      </w:r>
      <w:r>
        <w:rPr>
          <w:vertAlign w:val="subscript"/>
        </w:rPr>
        <w:t>з</w:t>
      </w:r>
      <w:proofErr w:type="spellEnd"/>
      <w:r>
        <w:t xml:space="preserve"> - затраты на выполнение земляных работ;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proofErr w:type="spellStart"/>
      <w:r>
        <w:t>З</w:t>
      </w:r>
      <w:r>
        <w:rPr>
          <w:vertAlign w:val="subscript"/>
        </w:rPr>
        <w:t>псд</w:t>
      </w:r>
      <w:proofErr w:type="spellEnd"/>
      <w:r>
        <w:t xml:space="preserve"> - затраты на разработку проектной документации;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proofErr w:type="spellStart"/>
      <w:r>
        <w:t>З</w:t>
      </w:r>
      <w:r>
        <w:rPr>
          <w:vertAlign w:val="subscript"/>
        </w:rPr>
        <w:t>смр</w:t>
      </w:r>
      <w:proofErr w:type="spellEnd"/>
      <w:r>
        <w:t xml:space="preserve"> - затраты на выполнение строительно-монтажных работ;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proofErr w:type="spellStart"/>
      <w:r>
        <w:t>З</w:t>
      </w:r>
      <w:r>
        <w:rPr>
          <w:vertAlign w:val="subscript"/>
        </w:rPr>
        <w:t>обор</w:t>
      </w:r>
      <w:proofErr w:type="spellEnd"/>
      <w:r>
        <w:t xml:space="preserve"> - затраты на закупку и монтаж оборудования.</w:t>
      </w: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ind w:firstLine="540"/>
        <w:jc w:val="both"/>
      </w:pPr>
      <w:r>
        <w:t>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Федерации, либо документами, оформленными в соответствии с обычаями делового оборота, применяемыми в иностранном государстве, на территории которого произведены соответствующие расходы.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К затратам (расходам) могут быть </w:t>
      </w:r>
      <w:proofErr w:type="gramStart"/>
      <w:r>
        <w:t>отнесены</w:t>
      </w:r>
      <w:proofErr w:type="gramEnd"/>
      <w:r>
        <w:t>: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а) затраты на приобретение земельного участка (</w:t>
      </w:r>
      <w:proofErr w:type="spellStart"/>
      <w:r>
        <w:t>З</w:t>
      </w:r>
      <w:r>
        <w:rPr>
          <w:vertAlign w:val="subscript"/>
        </w:rPr>
        <w:t>з</w:t>
      </w:r>
      <w:proofErr w:type="gramStart"/>
      <w:r>
        <w:rPr>
          <w:vertAlign w:val="subscript"/>
        </w:rPr>
        <w:t>.у</w:t>
      </w:r>
      <w:proofErr w:type="gramEnd"/>
      <w:r>
        <w:rPr>
          <w:vertAlign w:val="subscript"/>
        </w:rPr>
        <w:t>ч</w:t>
      </w:r>
      <w:proofErr w:type="spellEnd"/>
      <w:r>
        <w:t>), подтвержденные правоустанавливающими документами о правах на недвижимость (земельный участок), договором купли-продажи земельного участка, зарегистрированным в установленном порядке в Едином государственном реестре недвижимости (ЕГРН);</w:t>
      </w:r>
    </w:p>
    <w:p w:rsidR="00FF3B35" w:rsidRDefault="00FF3B35" w:rsidP="00FF3B35">
      <w:pPr>
        <w:pStyle w:val="ConsPlusNormal"/>
        <w:jc w:val="both"/>
      </w:pPr>
      <w:r>
        <w:lastRenderedPageBreak/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17.11.2022 N 825)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суммы, уплачиваемые продавцу земли в соответствии с договором;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регистрационные сборы, госпошлины и другие аналогичные расходы в связи с приобретением и регистрацией прав на землю;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затраты на оплату услуг организаций по изготовлению документов кадастрового учета;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расходы на межевание;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расходы на оплату услуг уполномоченных органов по оценке земли;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б) затраты по подготовке территории строительства (</w:t>
      </w:r>
      <w:proofErr w:type="spellStart"/>
      <w:r>
        <w:t>З</w:t>
      </w:r>
      <w:r>
        <w:rPr>
          <w:vertAlign w:val="subscript"/>
        </w:rPr>
        <w:t>подг</w:t>
      </w:r>
      <w:proofErr w:type="gramStart"/>
      <w:r>
        <w:rPr>
          <w:vertAlign w:val="subscript"/>
        </w:rPr>
        <w:t>.с</w:t>
      </w:r>
      <w:proofErr w:type="gramEnd"/>
      <w:r>
        <w:rPr>
          <w:vertAlign w:val="subscript"/>
        </w:rPr>
        <w:t>тр</w:t>
      </w:r>
      <w:proofErr w:type="spellEnd"/>
      <w:r>
        <w:t>), в том числе расходы, связанные с отводом и освоением застраиваемой территории: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отвод земельного участка, выдача архитектурно-планировочного задания и выделение красных линий застройки (определяются на основе расчета);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разбивка основных осей зданий и сооружений и закрепление их пунктами и знаками;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освобождение территории строительства от имеющихся на ней строений, лесонасаждений, промышленных отвалов и других мешающих предметов, переселение жильцов из сносимых домов, перенос и переустройство инженерных сетей, коммуникаций, сооружений, путей и дорог, снятие и хранение плодородного слоя почвы и т.п.;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компенсация стоимости сносимых (переносимых) строений и насаждений, принадлежащих организациям </w:t>
      </w:r>
      <w:proofErr w:type="gramStart"/>
      <w:r>
        <w:t>и(</w:t>
      </w:r>
      <w:proofErr w:type="gramEnd"/>
      <w:r>
        <w:t>или) физическим лицам;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осушение территории стройки, проведение на ней других мероприятий, связанных с прекращением или изменением условий водопользования, а также с защитой окружающей среды и ликвидацией неблагоприятных условий строительства;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затраты на разминирование территории строительства в районах бывших боевых действий;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плата за аренду земельного участка, предоставляемого на период проектирования и строительства объекта заправки;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плата за землю при изъятии (выкупе) земельного участка для строительства, а также выплата земельного налога (аренды) в период строительства;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затраты, связанные с оплатой работ (услуг), выполняемых коммунальными и эксплуатационными организациями, по выдаче исходных данных на проектирование, технических условий и требований на присоединение проектируемых объектов заправки к инженерным сетям и коммуникациям общего пользования, а также по проведению необходимых согласований проектных решений;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затраты, связанные с выполнением по требованию органов местного самоуправления исполнительной контрольной съемки построенных инженерных сетей;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затраты, связанные с выполнением археологических раскопок в пределах строительной площадки;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возмещение собственникам земельных участков, землепользователям, землевладельцам и арендаторам земельных участков убытков, причиненных 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 в результате деятельности других лиц;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в) плата за технологическое присоединение (подключение) к сетям (</w:t>
      </w:r>
      <w:proofErr w:type="spellStart"/>
      <w:r>
        <w:t>З</w:t>
      </w:r>
      <w:r>
        <w:rPr>
          <w:vertAlign w:val="subscript"/>
        </w:rPr>
        <w:t>с</w:t>
      </w:r>
      <w:proofErr w:type="spellEnd"/>
      <w:r>
        <w:t>), включающая средства для компенсации расходов сетевых организаций на выполнение организационно-технических мероприятий, связанных с осуществлением технологического присоединения;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г) затраты на выполнение земляных работ (</w:t>
      </w:r>
      <w:proofErr w:type="spellStart"/>
      <w:r>
        <w:t>З</w:t>
      </w:r>
      <w:r>
        <w:rPr>
          <w:vertAlign w:val="subscript"/>
        </w:rPr>
        <w:t>з</w:t>
      </w:r>
      <w:proofErr w:type="spellEnd"/>
      <w:r>
        <w:t>), связанных с подготовкой площадки для дальнейшего строительства.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lastRenderedPageBreak/>
        <w:t>К земляным работам могут быть отнесены: рыхление твердого и скального грунта для последующей разработки, отрыв котлованов, траншей и каналов, вскрышные работы, перемещение грунта в отвал, возведение насыпей с уплотнением грунта, зачистки дна и откосов земляных сооружений, котлованов и траншей после возведения фундаментов и укладки труб, уплотнение грунта, планировка поверхности;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д) затраты на разработку проектной документации (</w:t>
      </w:r>
      <w:proofErr w:type="spellStart"/>
      <w:r>
        <w:t>З</w:t>
      </w:r>
      <w:r>
        <w:rPr>
          <w:vertAlign w:val="subscript"/>
        </w:rPr>
        <w:t>псд</w:t>
      </w:r>
      <w:proofErr w:type="spellEnd"/>
      <w:r>
        <w:t xml:space="preserve">), определяемые на основании платежных поручений, подтверждающих оплату по договорам подряда на выполнение проектных и изыскательских работ, в соответствии с которыми подрядчик (проектировщик, изыскатель) обязуется по заданию заказчика разработать техническую документацию </w:t>
      </w:r>
      <w:proofErr w:type="gramStart"/>
      <w:r>
        <w:t>и(</w:t>
      </w:r>
      <w:proofErr w:type="gramEnd"/>
      <w:r>
        <w:t>или) выполнить изыскательские работы, а заказчик обязуется принять и оплатить их результат в соответствующей сумме;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е) затраты на выполнение строительно-монтажных работ (</w:t>
      </w:r>
      <w:proofErr w:type="spellStart"/>
      <w:r>
        <w:t>З</w:t>
      </w:r>
      <w:r>
        <w:rPr>
          <w:vertAlign w:val="subscript"/>
        </w:rPr>
        <w:t>смр</w:t>
      </w:r>
      <w:proofErr w:type="spellEnd"/>
      <w:r>
        <w:t>), определяемые на основании: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договоров на выполнение строительно-монтажных, подрядных работ (при проведении работ подрядным способом) и прочих работ (проектные работы, экспертиза, технический надзор);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платежных поручений, подтверждающих оплату строительно-монтажных и прочих работ (проектные работы, экспертиза, технический надзор) и перечисление средств подрядчикам на выполнение работ, в том числе по авансовым платежам;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платежных поручений, подтверждающих оплату строительных материалов, работ и услуг юридических и физических лиц;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актов о приемке выполненных работ, заверенных заказчиком и подрядчиком (формы КС-2, КС-3);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актов приемки законченного строительством объекта заправки (форма КС-11);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ж) затраты на закупку и монтаж оборудования (</w:t>
      </w:r>
      <w:proofErr w:type="spellStart"/>
      <w:r>
        <w:t>З</w:t>
      </w:r>
      <w:r>
        <w:rPr>
          <w:vertAlign w:val="subscript"/>
        </w:rPr>
        <w:t>обор</w:t>
      </w:r>
      <w:proofErr w:type="spellEnd"/>
      <w:r>
        <w:t>), определяемые на основании: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договоров на поставку оборудования;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документов, подтверждающих затраты на приобретение оборудования;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актов приемки-передачи оборудования, паспортов на оборудование;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товарно-транспортных накладных, счетов-фактур на получение оборудования, актов о приемке-передаче оборудования в монтаж (форма ОС-15).</w:t>
      </w: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jc w:val="right"/>
        <w:outlineLvl w:val="1"/>
      </w:pPr>
      <w:r>
        <w:t>Приложение 3</w:t>
      </w:r>
    </w:p>
    <w:p w:rsidR="00FF3B35" w:rsidRDefault="00FF3B35" w:rsidP="00FF3B35">
      <w:pPr>
        <w:pStyle w:val="ConsPlusNormal"/>
        <w:jc w:val="right"/>
      </w:pPr>
      <w:r>
        <w:t>к Порядку...</w:t>
      </w:r>
    </w:p>
    <w:p w:rsidR="00FF3B35" w:rsidRDefault="00FF3B35" w:rsidP="00FF3B35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3B35" w:rsidTr="004933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3B35" w:rsidRDefault="00FF3B35" w:rsidP="00493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B35" w:rsidRDefault="00FF3B35" w:rsidP="004933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FF3B35" w:rsidRDefault="00FF3B35" w:rsidP="0049332A">
            <w:pPr>
              <w:pStyle w:val="ConsPlusNormal"/>
              <w:jc w:val="center"/>
            </w:pPr>
            <w:r>
              <w:rPr>
                <w:color w:val="392C69"/>
              </w:rPr>
              <w:t>от 17.11.2022 N 825)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</w:tr>
    </w:tbl>
    <w:p w:rsidR="00FF3B35" w:rsidRDefault="00FF3B35" w:rsidP="00FF3B35">
      <w:pPr>
        <w:pStyle w:val="ConsPlusNormal"/>
        <w:ind w:firstLine="540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3B35" w:rsidTr="004933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3B35" w:rsidRDefault="00FF3B35" w:rsidP="0049332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изменения, внесенного в п. 1 приложения 3 </w:t>
            </w:r>
            <w:hyperlink r:id="rId5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17.11.2022 N 825, </w:t>
            </w:r>
            <w:hyperlink r:id="rId6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3B35" w:rsidRDefault="00FF3B35" w:rsidP="0049332A">
            <w:pPr>
              <w:pStyle w:val="ConsPlusNormal"/>
            </w:pPr>
          </w:p>
        </w:tc>
      </w:tr>
    </w:tbl>
    <w:p w:rsidR="00FF3B35" w:rsidRDefault="00FF3B35" w:rsidP="00FF3B35">
      <w:pPr>
        <w:pStyle w:val="ConsPlusNormal"/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"/>
        <w:gridCol w:w="2324"/>
        <w:gridCol w:w="687"/>
        <w:gridCol w:w="4869"/>
        <w:gridCol w:w="340"/>
      </w:tblGrid>
      <w:tr w:rsidR="00FF3B35" w:rsidTr="0049332A">
        <w:tc>
          <w:tcPr>
            <w:tcW w:w="31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  <w:jc w:val="right"/>
            </w:pPr>
            <w:r>
              <w:t>В Комитет Ленинградской области</w:t>
            </w:r>
          </w:p>
          <w:p w:rsidR="00FF3B35" w:rsidRDefault="00FF3B35" w:rsidP="0049332A">
            <w:pPr>
              <w:pStyle w:val="ConsPlusNormal"/>
              <w:jc w:val="right"/>
            </w:pPr>
            <w:r>
              <w:t>по транспорту</w:t>
            </w:r>
          </w:p>
        </w:tc>
      </w:tr>
      <w:tr w:rsidR="00FF3B35" w:rsidTr="0049332A">
        <w:tc>
          <w:tcPr>
            <w:tcW w:w="3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  <w:r>
              <w:t>от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B35" w:rsidRDefault="00FF3B35" w:rsidP="0049332A">
            <w:pPr>
              <w:pStyle w:val="ConsPlusNormal"/>
              <w:jc w:val="both"/>
            </w:pPr>
          </w:p>
        </w:tc>
      </w:tr>
      <w:tr w:rsidR="00FF3B35" w:rsidTr="0049332A">
        <w:tc>
          <w:tcPr>
            <w:tcW w:w="3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  <w:jc w:val="center"/>
            </w:pPr>
            <w:r>
              <w:t>(наименование юридического лица или индивидуального предпринимателя)</w:t>
            </w:r>
          </w:p>
        </w:tc>
      </w:tr>
      <w:tr w:rsidR="00FF3B35" w:rsidTr="0049332A">
        <w:tc>
          <w:tcPr>
            <w:tcW w:w="3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</w:tr>
      <w:tr w:rsidR="00FF3B35" w:rsidTr="0049332A">
        <w:tc>
          <w:tcPr>
            <w:tcW w:w="3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  <w:jc w:val="center"/>
            </w:pPr>
            <w:r>
              <w:t>(адрес нахождения юридического лица или индивидуального предпринимателя)</w:t>
            </w:r>
          </w:p>
        </w:tc>
      </w:tr>
      <w:tr w:rsidR="00FF3B35" w:rsidTr="0049332A">
        <w:tc>
          <w:tcPr>
            <w:tcW w:w="3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</w:tr>
      <w:tr w:rsidR="00FF3B35" w:rsidTr="0049332A">
        <w:tc>
          <w:tcPr>
            <w:tcW w:w="3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  <w:jc w:val="center"/>
            </w:pPr>
            <w:r>
              <w:t>(ИНН юридического лица)</w:t>
            </w:r>
          </w:p>
        </w:tc>
      </w:tr>
      <w:tr w:rsidR="00FF3B35" w:rsidTr="0049332A">
        <w:tc>
          <w:tcPr>
            <w:tcW w:w="3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</w:tr>
      <w:tr w:rsidR="00FF3B35" w:rsidTr="0049332A">
        <w:tc>
          <w:tcPr>
            <w:tcW w:w="3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  <w:jc w:val="center"/>
            </w:pPr>
            <w:r>
              <w:t>(ОГРН юридического лица)</w:t>
            </w:r>
          </w:p>
        </w:tc>
      </w:tr>
      <w:tr w:rsidR="00FF3B35" w:rsidTr="0049332A">
        <w:tc>
          <w:tcPr>
            <w:tcW w:w="3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</w:tr>
      <w:tr w:rsidR="00FF3B35" w:rsidTr="0049332A">
        <w:tc>
          <w:tcPr>
            <w:tcW w:w="3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  <w:jc w:val="center"/>
            </w:pPr>
            <w:r>
              <w:t>(контактный номер телефона, адрес электронной почты)</w:t>
            </w:r>
          </w:p>
        </w:tc>
      </w:tr>
      <w:tr w:rsidR="00FF3B35" w:rsidTr="0049332A"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</w:tr>
      <w:tr w:rsidR="00FF3B35" w:rsidTr="0049332A"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  <w:jc w:val="center"/>
            </w:pPr>
            <w:bookmarkStart w:id="26" w:name="P344"/>
            <w:bookmarkEnd w:id="26"/>
            <w:r>
              <w:t>ЗАЯВКА</w:t>
            </w:r>
          </w:p>
        </w:tc>
      </w:tr>
      <w:tr w:rsidR="00FF3B35" w:rsidTr="0049332A"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</w:tr>
      <w:tr w:rsidR="00FF3B35" w:rsidTr="0049332A"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  <w:ind w:firstLine="283"/>
              <w:jc w:val="both"/>
            </w:pPr>
            <w:r>
              <w:t>Прошу предоставить субсидию на компенсацию части затрат, произведенных при реализации инвестиционного проекта по строительству</w:t>
            </w:r>
          </w:p>
        </w:tc>
      </w:tr>
      <w:tr w:rsidR="00FF3B35" w:rsidTr="0049332A"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  <w:jc w:val="both"/>
            </w:pPr>
            <w:r>
              <w:t>объекта (объектов) заправки транспортных средств</w:t>
            </w:r>
          </w:p>
        </w:tc>
      </w:tr>
      <w:tr w:rsidR="00FF3B35" w:rsidTr="0049332A"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  <w:jc w:val="center"/>
            </w:pPr>
            <w:r>
              <w:t>(одного, двух...)</w:t>
            </w: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  <w:jc w:val="both"/>
            </w:pPr>
          </w:p>
        </w:tc>
      </w:tr>
      <w:tr w:rsidR="00FF3B35" w:rsidTr="0049332A"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  <w:jc w:val="both"/>
            </w:pPr>
            <w:r>
              <w:t>компримированным (сжатым) природным газом, по которому разрешение на ввод в эксплуатацию получено в 202__ году, в сумме ___________ рублей ____ копеек из расчета на один объект заправки транспортного средства природным газом.</w:t>
            </w:r>
          </w:p>
          <w:p w:rsidR="00FF3B35" w:rsidRDefault="00FF3B35" w:rsidP="0049332A">
            <w:pPr>
              <w:pStyle w:val="ConsPlusNormal"/>
              <w:ind w:firstLine="283"/>
              <w:jc w:val="both"/>
            </w:pPr>
            <w:r>
              <w:t>Расчет размера фактических затрат на строительство объектов заправки транспортных сре</w:t>
            </w:r>
            <w:proofErr w:type="gramStart"/>
            <w:r>
              <w:t>дств пр</w:t>
            </w:r>
            <w:proofErr w:type="gramEnd"/>
            <w:r>
              <w:t>иродным газом прилагается к настоящей заявке.</w:t>
            </w:r>
          </w:p>
          <w:p w:rsidR="00FF3B35" w:rsidRDefault="00FF3B35" w:rsidP="0049332A">
            <w:pPr>
              <w:pStyle w:val="ConsPlusNormal"/>
              <w:ind w:firstLine="283"/>
              <w:jc w:val="both"/>
            </w:pPr>
            <w:r>
              <w:t>Настоящим подтверждаю, что:</w:t>
            </w:r>
          </w:p>
        </w:tc>
      </w:tr>
      <w:tr w:rsidR="00FF3B35" w:rsidTr="0049332A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  <w:ind w:firstLine="283"/>
              <w:jc w:val="both"/>
            </w:pPr>
            <w:r>
              <w:t>1)</w:t>
            </w:r>
          </w:p>
        </w:tc>
        <w:tc>
          <w:tcPr>
            <w:tcW w:w="8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B35" w:rsidRDefault="00FF3B35" w:rsidP="0049332A">
            <w:pPr>
              <w:pStyle w:val="ConsPlusNormal"/>
              <w:jc w:val="both"/>
            </w:pPr>
          </w:p>
        </w:tc>
      </w:tr>
      <w:tr w:rsidR="00FF3B35" w:rsidTr="0049332A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  <w:jc w:val="center"/>
            </w:pPr>
            <w:r>
              <w:t>(указывается наименование или фамилия, имя, отчество заявителя)</w:t>
            </w:r>
          </w:p>
        </w:tc>
      </w:tr>
      <w:tr w:rsidR="00FF3B35" w:rsidTr="0049332A"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  <w:jc w:val="both"/>
            </w:pPr>
            <w:proofErr w:type="gramStart"/>
            <w:r>
              <w:t xml:space="preserve">соответствует категории, установленной </w:t>
            </w:r>
            <w:hyperlink w:anchor="P68">
              <w:r>
                <w:rPr>
                  <w:color w:val="0000FF"/>
                </w:rPr>
                <w:t>пунктом 1.4</w:t>
              </w:r>
            </w:hyperlink>
            <w:r>
              <w:t xml:space="preserve"> и требованиям, установленным </w:t>
            </w:r>
            <w:hyperlink w:anchor="P94">
              <w:r>
                <w:rPr>
                  <w:color w:val="0000FF"/>
                </w:rPr>
                <w:t>пунктом 2.3</w:t>
              </w:r>
            </w:hyperlink>
            <w:r>
              <w:t xml:space="preserve"> Порядка предоставления субсидии на компенсацию части затрат юридическим лицам и индивидуальным предпринимателям на развитие заправочной инфраструктуры компримированного природного газа в рамках государственной программы "Развитие транспортной системы Ленинградской области", утвержденного постановлением Правительства Ленинградской области от 17 марта 2020 года N 127 (далее - Порядок);</w:t>
            </w:r>
            <w:proofErr w:type="gramEnd"/>
          </w:p>
          <w:p w:rsidR="00FF3B35" w:rsidRDefault="00FF3B35" w:rsidP="0049332A">
            <w:pPr>
              <w:pStyle w:val="ConsPlusNormal"/>
              <w:ind w:firstLine="283"/>
              <w:jc w:val="both"/>
            </w:pPr>
            <w:proofErr w:type="gramStart"/>
            <w:r>
              <w:t xml:space="preserve">2) построенный (построенные) объект (объекты) заправки транспортных средств компримированным (сжатым) природным газом соответствует (соответствуют) </w:t>
            </w:r>
            <w:hyperlink w:anchor="P222">
              <w:r>
                <w:rPr>
                  <w:color w:val="0000FF"/>
                </w:rPr>
                <w:t>Требованиям</w:t>
              </w:r>
            </w:hyperlink>
            <w:r>
              <w:t xml:space="preserve"> к объектам заправки транспортных средств компримированным (сжатым) природным газом, установленным приложением 1 к Порядку;</w:t>
            </w:r>
            <w:proofErr w:type="gramEnd"/>
          </w:p>
          <w:p w:rsidR="00FF3B35" w:rsidRDefault="00FF3B35" w:rsidP="0049332A">
            <w:pPr>
              <w:pStyle w:val="ConsPlusNormal"/>
              <w:ind w:firstLine="283"/>
              <w:jc w:val="both"/>
            </w:pPr>
            <w:r>
              <w:t>3) затраты (расходы) на реализацию инвестиционного проекта по строительству объекта (объектов) заправки транспортных средств компримированным (сжатым) природным газом, предъявленные к возмещению за счет средств областного бюджета, осуществлены непосредственно</w:t>
            </w:r>
          </w:p>
        </w:tc>
      </w:tr>
      <w:tr w:rsidR="00FF3B35" w:rsidTr="0049332A">
        <w:tc>
          <w:tcPr>
            <w:tcW w:w="8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B35" w:rsidRDefault="00FF3B35" w:rsidP="0049332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  <w:jc w:val="both"/>
            </w:pPr>
            <w:r>
              <w:t>;</w:t>
            </w:r>
          </w:p>
        </w:tc>
      </w:tr>
      <w:tr w:rsidR="00FF3B35" w:rsidTr="0049332A"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  <w:jc w:val="center"/>
            </w:pPr>
            <w:r>
              <w:t>(указывается наименование или фамилия, имя, отчество заявителя)</w:t>
            </w:r>
          </w:p>
        </w:tc>
      </w:tr>
      <w:tr w:rsidR="00FF3B35" w:rsidTr="0049332A"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  <w:ind w:firstLine="283"/>
              <w:jc w:val="both"/>
            </w:pPr>
            <w:r>
              <w:t xml:space="preserve">4) юридические лица и индивидуальные предприниматели, участвующие в строительстве </w:t>
            </w:r>
            <w:r>
              <w:lastRenderedPageBreak/>
              <w:t xml:space="preserve">объекта (объектов) заправки транспортных средств компримированным природным газом, затраты по которым предъявлены к возмещению за счет средств областного бюджета, не являются взаимозависимыми по отношению </w:t>
            </w:r>
            <w:proofErr w:type="gramStart"/>
            <w:r>
              <w:t>к</w:t>
            </w:r>
            <w:proofErr w:type="gramEnd"/>
          </w:p>
        </w:tc>
      </w:tr>
      <w:tr w:rsidR="00FF3B35" w:rsidTr="0049332A">
        <w:tc>
          <w:tcPr>
            <w:tcW w:w="8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  <w:jc w:val="both"/>
            </w:pPr>
            <w:r>
              <w:t>.</w:t>
            </w:r>
          </w:p>
        </w:tc>
      </w:tr>
      <w:tr w:rsidR="00FF3B35" w:rsidTr="0049332A"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  <w:jc w:val="center"/>
            </w:pPr>
            <w:r>
              <w:t>(указывается наименование или фамилия, имя, отчество заявителя)</w:t>
            </w:r>
          </w:p>
        </w:tc>
      </w:tr>
      <w:tr w:rsidR="00FF3B35" w:rsidTr="0049332A"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</w:tr>
      <w:tr w:rsidR="00FF3B35" w:rsidTr="0049332A"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  <w:ind w:firstLine="283"/>
              <w:jc w:val="both"/>
            </w:pPr>
            <w:r>
              <w:t>Приложения: документы &lt;*&gt; согласно описи на ____ листах.</w:t>
            </w:r>
          </w:p>
        </w:tc>
      </w:tr>
    </w:tbl>
    <w:p w:rsidR="00FF3B35" w:rsidRDefault="00FF3B35" w:rsidP="00FF3B35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2324"/>
        <w:gridCol w:w="340"/>
        <w:gridCol w:w="3061"/>
      </w:tblGrid>
      <w:tr w:rsidR="00FF3B35" w:rsidTr="0049332A"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</w:tr>
      <w:tr w:rsidR="00FF3B35" w:rsidTr="0049332A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FF3B35" w:rsidTr="0049332A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</w:tr>
      <w:tr w:rsidR="00FF3B35" w:rsidTr="0049332A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  <w:r>
              <w:t>"___" ________________ 20__ г.</w:t>
            </w:r>
          </w:p>
        </w:tc>
      </w:tr>
      <w:tr w:rsidR="00FF3B35" w:rsidTr="0049332A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</w:tr>
      <w:tr w:rsidR="00FF3B35" w:rsidTr="0049332A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  <w:r>
              <w:t>М.П.</w:t>
            </w:r>
          </w:p>
        </w:tc>
      </w:tr>
    </w:tbl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ind w:firstLine="540"/>
        <w:jc w:val="both"/>
      </w:pPr>
      <w:r>
        <w:t>--------------------------------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 xml:space="preserve">&lt;*&gt; В соответствии с </w:t>
      </w:r>
      <w:hyperlink w:anchor="P125">
        <w:r>
          <w:rPr>
            <w:color w:val="0000FF"/>
          </w:rPr>
          <w:t>пунктом 2.4</w:t>
        </w:r>
      </w:hyperlink>
      <w:r>
        <w:t xml:space="preserve"> Порядка.</w:t>
      </w: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jc w:val="right"/>
        <w:outlineLvl w:val="2"/>
      </w:pPr>
      <w:r>
        <w:t>Приложение</w:t>
      </w:r>
    </w:p>
    <w:p w:rsidR="00FF3B35" w:rsidRDefault="00FF3B35" w:rsidP="00FF3B35">
      <w:pPr>
        <w:pStyle w:val="ConsPlusNormal"/>
        <w:jc w:val="right"/>
      </w:pPr>
      <w:r>
        <w:t>к заявке...</w:t>
      </w:r>
    </w:p>
    <w:p w:rsidR="00FF3B35" w:rsidRDefault="00FF3B35" w:rsidP="00FF3B3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F3B35" w:rsidTr="0049332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  <w:jc w:val="center"/>
            </w:pPr>
            <w:r>
              <w:t>РАСЧЕТ</w:t>
            </w:r>
          </w:p>
          <w:p w:rsidR="00FF3B35" w:rsidRDefault="00FF3B35" w:rsidP="0049332A">
            <w:pPr>
              <w:pStyle w:val="ConsPlusNormal"/>
              <w:jc w:val="center"/>
            </w:pPr>
            <w:r>
              <w:t>размера фактических затрат на строительство объектов заправки</w:t>
            </w:r>
          </w:p>
          <w:p w:rsidR="00FF3B35" w:rsidRDefault="00FF3B35" w:rsidP="0049332A">
            <w:pPr>
              <w:pStyle w:val="ConsPlusNormal"/>
              <w:jc w:val="center"/>
            </w:pPr>
            <w:r>
              <w:t>транспортных сре</w:t>
            </w:r>
            <w:proofErr w:type="gramStart"/>
            <w:r>
              <w:t>дств пр</w:t>
            </w:r>
            <w:proofErr w:type="gramEnd"/>
            <w:r>
              <w:t>иродным газом</w:t>
            </w:r>
          </w:p>
        </w:tc>
      </w:tr>
    </w:tbl>
    <w:p w:rsidR="00FF3B35" w:rsidRDefault="00FF3B35" w:rsidP="00FF3B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665"/>
        <w:gridCol w:w="1757"/>
        <w:gridCol w:w="1417"/>
        <w:gridCol w:w="1531"/>
      </w:tblGrid>
      <w:tr w:rsidR="00FF3B35" w:rsidTr="0049332A">
        <w:tc>
          <w:tcPr>
            <w:tcW w:w="1701" w:type="dxa"/>
          </w:tcPr>
          <w:p w:rsidR="00FF3B35" w:rsidRDefault="00FF3B35" w:rsidP="0049332A">
            <w:pPr>
              <w:pStyle w:val="ConsPlusNormal"/>
              <w:jc w:val="center"/>
            </w:pPr>
            <w:r>
              <w:t>Вид, адрес объекта заправки транспортных сре</w:t>
            </w:r>
            <w:proofErr w:type="gramStart"/>
            <w:r>
              <w:t>дств пр</w:t>
            </w:r>
            <w:proofErr w:type="gramEnd"/>
            <w:r>
              <w:t>иродным газом</w:t>
            </w:r>
          </w:p>
        </w:tc>
        <w:tc>
          <w:tcPr>
            <w:tcW w:w="2665" w:type="dxa"/>
          </w:tcPr>
          <w:p w:rsidR="00FF3B35" w:rsidRDefault="00FF3B35" w:rsidP="0049332A">
            <w:pPr>
              <w:pStyle w:val="ConsPlusNormal"/>
              <w:jc w:val="center"/>
            </w:pPr>
            <w:r>
              <w:t>Вид затрат на строительство (реализацию инвестиционного проекта по строительству) объекта заправки транспортных сре</w:t>
            </w:r>
            <w:proofErr w:type="gramStart"/>
            <w:r>
              <w:t>дств пр</w:t>
            </w:r>
            <w:proofErr w:type="gramEnd"/>
            <w:r>
              <w:t>иродным газом &lt;*&gt;</w:t>
            </w:r>
          </w:p>
        </w:tc>
        <w:tc>
          <w:tcPr>
            <w:tcW w:w="1757" w:type="dxa"/>
          </w:tcPr>
          <w:p w:rsidR="00FF3B35" w:rsidRDefault="00FF3B35" w:rsidP="0049332A">
            <w:pPr>
              <w:pStyle w:val="ConsPlusNormal"/>
              <w:jc w:val="center"/>
            </w:pPr>
            <w:r>
              <w:t>Наименование и реквизиты платежного документа</w:t>
            </w:r>
          </w:p>
        </w:tc>
        <w:tc>
          <w:tcPr>
            <w:tcW w:w="1417" w:type="dxa"/>
          </w:tcPr>
          <w:p w:rsidR="00FF3B35" w:rsidRDefault="00FF3B35" w:rsidP="0049332A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531" w:type="dxa"/>
          </w:tcPr>
          <w:p w:rsidR="00FF3B35" w:rsidRDefault="00FF3B35" w:rsidP="0049332A">
            <w:pPr>
              <w:pStyle w:val="ConsPlusNormal"/>
              <w:jc w:val="center"/>
            </w:pPr>
            <w:r>
              <w:t>Сумма по документу, без учета НДС</w:t>
            </w:r>
          </w:p>
          <w:p w:rsidR="00FF3B35" w:rsidRDefault="00FF3B35" w:rsidP="0049332A">
            <w:pPr>
              <w:pStyle w:val="ConsPlusNormal"/>
              <w:jc w:val="center"/>
            </w:pPr>
            <w:r>
              <w:t>(рублей)</w:t>
            </w:r>
          </w:p>
        </w:tc>
      </w:tr>
      <w:tr w:rsidR="00FF3B35" w:rsidTr="0049332A">
        <w:tc>
          <w:tcPr>
            <w:tcW w:w="1701" w:type="dxa"/>
          </w:tcPr>
          <w:p w:rsidR="00FF3B35" w:rsidRDefault="00FF3B35" w:rsidP="00493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FF3B35" w:rsidRDefault="00FF3B35" w:rsidP="00493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FF3B35" w:rsidRDefault="00FF3B35" w:rsidP="004933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F3B35" w:rsidRDefault="00FF3B35" w:rsidP="004933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FF3B35" w:rsidRDefault="00FF3B35" w:rsidP="0049332A">
            <w:pPr>
              <w:pStyle w:val="ConsPlusNormal"/>
              <w:jc w:val="center"/>
            </w:pPr>
            <w:r>
              <w:t>5</w:t>
            </w:r>
          </w:p>
        </w:tc>
      </w:tr>
      <w:tr w:rsidR="00FF3B35" w:rsidTr="0049332A">
        <w:tc>
          <w:tcPr>
            <w:tcW w:w="1701" w:type="dxa"/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2665" w:type="dxa"/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1757" w:type="dxa"/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1417" w:type="dxa"/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1531" w:type="dxa"/>
          </w:tcPr>
          <w:p w:rsidR="00FF3B35" w:rsidRDefault="00FF3B35" w:rsidP="0049332A">
            <w:pPr>
              <w:pStyle w:val="ConsPlusNormal"/>
            </w:pPr>
          </w:p>
        </w:tc>
      </w:tr>
    </w:tbl>
    <w:p w:rsidR="00FF3B35" w:rsidRDefault="00FF3B35" w:rsidP="00FF3B3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701"/>
        <w:gridCol w:w="3096"/>
      </w:tblGrid>
      <w:tr w:rsidR="00FF3B35" w:rsidTr="0049332A">
        <w:tc>
          <w:tcPr>
            <w:tcW w:w="9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  <w:r>
              <w:t>"___" _____________ 20__ года</w:t>
            </w:r>
          </w:p>
        </w:tc>
      </w:tr>
      <w:tr w:rsidR="00FF3B35" w:rsidTr="0049332A">
        <w:tc>
          <w:tcPr>
            <w:tcW w:w="9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</w:tr>
      <w:tr w:rsidR="00FF3B35" w:rsidTr="0049332A"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  <w:r>
              <w:t>Руководитель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</w:tr>
      <w:tr w:rsidR="00FF3B35" w:rsidTr="0049332A"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FF3B35" w:rsidTr="0049332A">
        <w:tc>
          <w:tcPr>
            <w:tcW w:w="9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</w:tr>
      <w:tr w:rsidR="00FF3B35" w:rsidTr="0049332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B35" w:rsidRDefault="00FF3B35" w:rsidP="0049332A">
            <w:pPr>
              <w:pStyle w:val="ConsPlusNormal"/>
            </w:pPr>
            <w:r>
              <w:t>М.П.</w:t>
            </w:r>
          </w:p>
        </w:tc>
      </w:tr>
    </w:tbl>
    <w:p w:rsidR="00FF3B35" w:rsidRDefault="00FF3B35" w:rsidP="00FF3B35">
      <w:pPr>
        <w:pStyle w:val="ConsPlusNormal"/>
        <w:ind w:firstLine="540"/>
        <w:jc w:val="both"/>
      </w:pPr>
    </w:p>
    <w:p w:rsidR="00FF3B35" w:rsidRDefault="00FF3B35" w:rsidP="00FF3B35">
      <w:pPr>
        <w:pStyle w:val="ConsPlusNormal"/>
        <w:ind w:firstLine="540"/>
        <w:jc w:val="both"/>
      </w:pPr>
      <w:r>
        <w:t>--------------------------------</w:t>
      </w:r>
    </w:p>
    <w:p w:rsidR="00FF3B35" w:rsidRDefault="00FF3B35" w:rsidP="00FF3B35">
      <w:pPr>
        <w:pStyle w:val="ConsPlusNormal"/>
        <w:spacing w:before="200"/>
        <w:ind w:firstLine="540"/>
        <w:jc w:val="both"/>
      </w:pPr>
      <w:r>
        <w:t>&lt;*&gt; Копии документов на бумажном носителе должны быть заверены подписью руководителя юридического лица или индивидуальным предпринимателем и печатью (при наличии печати) или в форме электронных документов, заверенных электронно-цифровой подписью руководителя в порядке, установленном действующим законодательством (при наличии электронно-цифровой подписи).</w:t>
      </w:r>
    </w:p>
    <w:p w:rsidR="00FF3B35" w:rsidRDefault="00FF3B35" w:rsidP="00FF3B35">
      <w:pPr>
        <w:pStyle w:val="ConsPlusNormal"/>
      </w:pPr>
    </w:p>
    <w:p w:rsidR="00FF3B35" w:rsidRDefault="00FF3B35" w:rsidP="00FF3B35">
      <w:pPr>
        <w:pStyle w:val="ConsPlusNormal"/>
      </w:pPr>
    </w:p>
    <w:p w:rsidR="00FF3B35" w:rsidRDefault="00FF3B35" w:rsidP="00FF3B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B35" w:rsidRDefault="00FF3B35" w:rsidP="00FF3B35"/>
    <w:p w:rsidR="00FA28E1" w:rsidRDefault="00FA28E1">
      <w:bookmarkStart w:id="27" w:name="_GoBack"/>
      <w:bookmarkEnd w:id="27"/>
    </w:p>
    <w:sectPr w:rsidR="00FA28E1" w:rsidSect="00F6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35"/>
    <w:rsid w:val="00FA28E1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3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B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F3B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F3B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3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B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F3B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F3B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EED0C6EE6836D9FD56AE88BF52ECDD706FB258F7134A9A046935673C05330A03D7A5E8D7FC9228F5855033DD2D0B8E9031F9666915CD1CtBm3I" TargetMode="External"/><Relationship Id="rId18" Type="http://schemas.openxmlformats.org/officeDocument/2006/relationships/hyperlink" Target="consultantplus://offline/ref=A8EED0C6EE6836D9FD56AE88BF52ECDD706FB258F7134A9A046935673C05330A03D7A5E8D7FC9228F7855033DD2D0B8E9031F9666915CD1CtBm3I" TargetMode="External"/><Relationship Id="rId26" Type="http://schemas.openxmlformats.org/officeDocument/2006/relationships/hyperlink" Target="consultantplus://offline/ref=A8EED0C6EE6836D9FD56AE88BF52ECDD706FB258F7134A9A046935673C05330A03D7A5E8D7FC9228F2855033DD2D0B8E9031F9666915CD1CtBm3I" TargetMode="External"/><Relationship Id="rId39" Type="http://schemas.openxmlformats.org/officeDocument/2006/relationships/hyperlink" Target="consultantplus://offline/ref=A8EED0C6EE6836D9FD56AE88BF52ECDD706FB258F7134A9A046935673C05330A03D7A5E8D7FC922AF2855033DD2D0B8E9031F9666915CD1CtBm3I" TargetMode="External"/><Relationship Id="rId21" Type="http://schemas.openxmlformats.org/officeDocument/2006/relationships/hyperlink" Target="consultantplus://offline/ref=A8EED0C6EE6836D9FD56AE88BF52ECDD706FB258F7134A9A046935673C05330A03D7A5E8D7FC9228F6855033DD2D0B8E9031F9666915CD1CtBm3I" TargetMode="External"/><Relationship Id="rId34" Type="http://schemas.openxmlformats.org/officeDocument/2006/relationships/hyperlink" Target="consultantplus://offline/ref=A8EED0C6EE6836D9FD56AE88BF52ECDD706FB258F7134A9A046935673C05330A03D7A5E8D7FC922AF6855033DD2D0B8E9031F9666915CD1CtBm3I" TargetMode="External"/><Relationship Id="rId42" Type="http://schemas.openxmlformats.org/officeDocument/2006/relationships/hyperlink" Target="consultantplus://offline/ref=A8EED0C6EE6836D9FD56AE88BF52ECDD706FB258F7134A9A046935673C05330A03D7A5E8D7FC922AFD855033DD2D0B8E9031F9666915CD1CtBm3I" TargetMode="External"/><Relationship Id="rId47" Type="http://schemas.openxmlformats.org/officeDocument/2006/relationships/hyperlink" Target="consultantplus://offline/ref=A8EED0C6EE6836D9FD56B199AA52ECDD766AB659F6154A9A046935673C05330A03D7A5EAD0FE9022A0DF4037947A0592922EE6657715tCmFI" TargetMode="External"/><Relationship Id="rId50" Type="http://schemas.openxmlformats.org/officeDocument/2006/relationships/hyperlink" Target="consultantplus://offline/ref=A8EED0C6EE6836D9FD56AE88BF52ECDD706FB258F7134A9A046935673C05330A03D7A5E8D7FC9229F3855033DD2D0B8E9031F9666915CD1CtBm3I" TargetMode="External"/><Relationship Id="rId55" Type="http://schemas.openxmlformats.org/officeDocument/2006/relationships/hyperlink" Target="consultantplus://offline/ref=A8EED0C6EE6836D9FD56AE88BF52ECDD706FB258F7134A9A046935673C05330A03D7A5E8D7FC922CF7855033DD2D0B8E9031F9666915CD1CtBm3I" TargetMode="External"/><Relationship Id="rId7" Type="http://schemas.openxmlformats.org/officeDocument/2006/relationships/hyperlink" Target="consultantplus://offline/ref=A8EED0C6EE6836D9FD56AE88BF52ECDD706DB55FF7154A9A046935673C05330A03D7A5E8D7FC9229F1855033DD2D0B8E9031F9666915CD1CtBm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EED0C6EE6836D9FD56AE88BF52ECDD706FB258F7134A9A046935673C05330A03D7A5E8D7FC9228F5855033DD2D0B8E9031F9666915CD1CtBm3I" TargetMode="External"/><Relationship Id="rId29" Type="http://schemas.openxmlformats.org/officeDocument/2006/relationships/hyperlink" Target="consultantplus://offline/ref=A8EED0C6EE6836D9FD56AE88BF52ECDD706FB557F0144A9A046935673C05330A03D7A5E8D3FD902DF7855033DD2D0B8E9031F9666915CD1CtBm3I" TargetMode="External"/><Relationship Id="rId11" Type="http://schemas.openxmlformats.org/officeDocument/2006/relationships/hyperlink" Target="consultantplus://offline/ref=A8EED0C6EE6836D9FD56B199AA52ECDD766AB659F6154A9A046935673C05330A03D7A5E8D7FF9120FD855033DD2D0B8E9031F9666915CD1CtBm3I" TargetMode="External"/><Relationship Id="rId24" Type="http://schemas.openxmlformats.org/officeDocument/2006/relationships/hyperlink" Target="consultantplus://offline/ref=A8EED0C6EE6836D9FD56AE88BF52ECDD706FB557F0144A9A046935673C05330A03D7A5E8D3FD902DF7855033DD2D0B8E9031F9666915CD1CtBm3I" TargetMode="External"/><Relationship Id="rId32" Type="http://schemas.openxmlformats.org/officeDocument/2006/relationships/hyperlink" Target="consultantplus://offline/ref=A8EED0C6EE6836D9FD56AE88BF52ECDD706FB258F7134A9A046935673C05330A03D7A5E8D7FC922BFC855033DD2D0B8E9031F9666915CD1CtBm3I" TargetMode="External"/><Relationship Id="rId37" Type="http://schemas.openxmlformats.org/officeDocument/2006/relationships/hyperlink" Target="consultantplus://offline/ref=A8EED0C6EE6836D9FD56AE88BF52ECDD706FB258F7134A9A046935673C05330A03D7A5E8D7FC922AF0855033DD2D0B8E9031F9666915CD1CtBm3I" TargetMode="External"/><Relationship Id="rId40" Type="http://schemas.openxmlformats.org/officeDocument/2006/relationships/hyperlink" Target="consultantplus://offline/ref=A8EED0C6EE6836D9FD56B199AA52ECDD766AB659F6154A9A046935673C05330A03D7A5EAD0FC9622A0DF4037947A0592922EE6657715tCmFI" TargetMode="External"/><Relationship Id="rId45" Type="http://schemas.openxmlformats.org/officeDocument/2006/relationships/hyperlink" Target="consultantplus://offline/ref=A8EED0C6EE6836D9FD56AE88BF52ECDD706FB258F7134A9A046935673C05330A03D7A5E8D7FC922DF7855033DD2D0B8E9031F9666915CD1CtBm3I" TargetMode="External"/><Relationship Id="rId53" Type="http://schemas.openxmlformats.org/officeDocument/2006/relationships/hyperlink" Target="consultantplus://offline/ref=A8EED0C6EE6836D9FD56AE88BF52ECDD706FB258F7134A9A046935673C05330A03D7A5E8D7FC922CF6855033DD2D0B8E9031F9666915CD1CtBm3I" TargetMode="External"/><Relationship Id="rId58" Type="http://schemas.openxmlformats.org/officeDocument/2006/relationships/hyperlink" Target="consultantplus://offline/ref=A8EED0C6EE6836D9FD56AE88BF52ECDD706FB258F7134A9A046935673C05330A03D7A5E8D7FC922FF2855033DD2D0B8E9031F9666915CD1CtBm3I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A8EED0C6EE6836D9FD56AE88BF52ECDD706FB258F7134A9A046935673C05330A03D7A5E8D7FC9229F3855033DD2D0B8E9031F9666915CD1CtBm3I" TargetMode="External"/><Relationship Id="rId14" Type="http://schemas.openxmlformats.org/officeDocument/2006/relationships/hyperlink" Target="consultantplus://offline/ref=A8EED0C6EE6836D9FD56AE88BF52ECDD706FB258F7134A9A046935673C05330A03D7A5E8D7FC9229F3855033DD2D0B8E9031F9666915CD1CtBm3I" TargetMode="External"/><Relationship Id="rId22" Type="http://schemas.openxmlformats.org/officeDocument/2006/relationships/hyperlink" Target="consultantplus://offline/ref=A8EED0C6EE6836D9FD56AE88BF52ECDD706FB258F7134A9A046935673C05330A03D7A5E8D7FC9228F0855033DD2D0B8E9031F9666915CD1CtBm3I" TargetMode="External"/><Relationship Id="rId27" Type="http://schemas.openxmlformats.org/officeDocument/2006/relationships/hyperlink" Target="consultantplus://offline/ref=A8EED0C6EE6836D9FD56AE88BF52ECDD706FB258F7134A9A046935673C05330A03D7A5E8D7FC922BF0855033DD2D0B8E9031F9666915CD1CtBm3I" TargetMode="External"/><Relationship Id="rId30" Type="http://schemas.openxmlformats.org/officeDocument/2006/relationships/hyperlink" Target="consultantplus://offline/ref=A8EED0C6EE6836D9FD56AE88BF52ECDD706FB258F7134A9A046935673C05330A03D7A5E8D7FC922BF0855033DD2D0B8E9031F9666915CD1CtBm3I" TargetMode="External"/><Relationship Id="rId35" Type="http://schemas.openxmlformats.org/officeDocument/2006/relationships/hyperlink" Target="consultantplus://offline/ref=A8EED0C6EE6836D9FD56B199AA52ECDD7669B15DF41B4A9A046935673C05330A03D7A5E8D7FC9A21F4855033DD2D0B8E9031F9666915CD1CtBm3I" TargetMode="External"/><Relationship Id="rId43" Type="http://schemas.openxmlformats.org/officeDocument/2006/relationships/hyperlink" Target="consultantplus://offline/ref=A8EED0C6EE6836D9FD56AE88BF52ECDD706FB258F7134A9A046935673C05330A03D7A5E8D7FC922DF5855033DD2D0B8E9031F9666915CD1CtBm3I" TargetMode="External"/><Relationship Id="rId48" Type="http://schemas.openxmlformats.org/officeDocument/2006/relationships/hyperlink" Target="consultantplus://offline/ref=A8EED0C6EE6836D9FD56AE88BF52ECDD706FB258F7134A9A046935673C05330A03D7A5E8D7FC922DF1855033DD2D0B8E9031F9666915CD1CtBm3I" TargetMode="External"/><Relationship Id="rId56" Type="http://schemas.openxmlformats.org/officeDocument/2006/relationships/hyperlink" Target="consultantplus://offline/ref=A8EED0C6EE6836D9FD56AE88BF52ECDD706FB258F7134A9A046935673C05330A03D7A5E8D7FC922FF1855033DD2D0B8E9031F9666915CD1CtBm3I" TargetMode="External"/><Relationship Id="rId8" Type="http://schemas.openxmlformats.org/officeDocument/2006/relationships/hyperlink" Target="consultantplus://offline/ref=A8EED0C6EE6836D9FD56AE88BF52ECDD706FB258F7134A9A046935673C05330A03D7A5E8D7FC9229F1855033DD2D0B8E9031F9666915CD1CtBm3I" TargetMode="External"/><Relationship Id="rId51" Type="http://schemas.openxmlformats.org/officeDocument/2006/relationships/hyperlink" Target="consultantplus://offline/ref=A8EED0C6EE6836D9FD56AE88BF52ECDD706FB258F7134A9A046935673C05330A03D7A5E8D7FC922DFD855033DD2D0B8E9031F9666915CD1CtBm3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8EED0C6EE6836D9FD56B199AA52ECDD766BBF5BF0124A9A046935673C05330A03D7A5E8D6FB922AF2855033DD2D0B8E9031F9666915CD1CtBm3I" TargetMode="External"/><Relationship Id="rId17" Type="http://schemas.openxmlformats.org/officeDocument/2006/relationships/hyperlink" Target="consultantplus://offline/ref=A8EED0C6EE6836D9FD56AE88BF52ECDD706DB55FF7154A9A046935673C05330A03D7A5E8D7FC9229F2855033DD2D0B8E9031F9666915CD1CtBm3I" TargetMode="External"/><Relationship Id="rId25" Type="http://schemas.openxmlformats.org/officeDocument/2006/relationships/hyperlink" Target="consultantplus://offline/ref=A8EED0C6EE6836D9FD56AE88BF52ECDD706FB258F7134A9A046935673C05330A03D7A5E8D7FC9228F0855033DD2D0B8E9031F9666915CD1CtBm3I" TargetMode="External"/><Relationship Id="rId33" Type="http://schemas.openxmlformats.org/officeDocument/2006/relationships/hyperlink" Target="consultantplus://offline/ref=A8EED0C6EE6836D9FD56AE88BF52ECDD706FB258F7134A9A046935673C05330A03D7A5E8D7FC922AF4855033DD2D0B8E9031F9666915CD1CtBm3I" TargetMode="External"/><Relationship Id="rId38" Type="http://schemas.openxmlformats.org/officeDocument/2006/relationships/hyperlink" Target="consultantplus://offline/ref=A8EED0C6EE6836D9FD56AE88BF52ECDD706FB258F7134A9A046935673C05330A03D7A5E8D7FC922AF1855033DD2D0B8E9031F9666915CD1CtBm3I" TargetMode="External"/><Relationship Id="rId46" Type="http://schemas.openxmlformats.org/officeDocument/2006/relationships/hyperlink" Target="consultantplus://offline/ref=A8EED0C6EE6836D9FD56B199AA52ECDD766AB659F6154A9A046935673C05330A03D7A5EAD0FC9622A0DF4037947A0592922EE6657715tCmFI" TargetMode="External"/><Relationship Id="rId59" Type="http://schemas.openxmlformats.org/officeDocument/2006/relationships/hyperlink" Target="consultantplus://offline/ref=A8EED0C6EE6836D9FD56AE88BF52ECDD706FB258F7134A9A046935673C05330A03D7A5E8D7FC922FF2855033DD2D0B8E9031F9666915CD1CtBm3I" TargetMode="External"/><Relationship Id="rId20" Type="http://schemas.openxmlformats.org/officeDocument/2006/relationships/hyperlink" Target="consultantplus://offline/ref=A8EED0C6EE6836D9FD56AE88BF52ECDD706DB55FF7154A9A046935673C05330A03D7A5E8D7FC9229F3855033DD2D0B8E9031F9666915CD1CtBm3I" TargetMode="External"/><Relationship Id="rId41" Type="http://schemas.openxmlformats.org/officeDocument/2006/relationships/hyperlink" Target="consultantplus://offline/ref=A8EED0C6EE6836D9FD56B199AA52ECDD766AB659F6154A9A046935673C05330A03D7A5EAD0FE9022A0DF4037947A0592922EE6657715tCmFI" TargetMode="External"/><Relationship Id="rId54" Type="http://schemas.openxmlformats.org/officeDocument/2006/relationships/hyperlink" Target="consultantplus://offline/ref=A8EED0C6EE6836D9FD56B199AA52ECDD766BB057F3114A9A046935673C05330A11D7FDE4D5FF8C28F59006629Bt7mAI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EED0C6EE6836D9FD56AE88BF52ECDD706AB65DF0104A9A046935673C05330A03D7A5E8D7FC9229F1855033DD2D0B8E9031F9666915CD1CtBm3I" TargetMode="External"/><Relationship Id="rId15" Type="http://schemas.openxmlformats.org/officeDocument/2006/relationships/hyperlink" Target="consultantplus://offline/ref=A8EED0C6EE6836D9FD56AE88BF52ECDD706AB65DF0104A9A046935673C05330A03D7A5E8D7FC9229FC855033DD2D0B8E9031F9666915CD1CtBm3I" TargetMode="External"/><Relationship Id="rId23" Type="http://schemas.openxmlformats.org/officeDocument/2006/relationships/hyperlink" Target="consultantplus://offline/ref=A8EED0C6EE6836D9FD56AE88BF52ECDD706FB258F7134A9A046935673C05330A03D7A5E8D7FC9229F3855033DD2D0B8E9031F9666915CD1CtBm3I" TargetMode="External"/><Relationship Id="rId28" Type="http://schemas.openxmlformats.org/officeDocument/2006/relationships/hyperlink" Target="consultantplus://offline/ref=A8EED0C6EE6836D9FD56AE88BF52ECDD706FB258F7134A9A046935673C05330A03D7A5E8D7FC9229F3855033DD2D0B8E9031F9666915CD1CtBm3I" TargetMode="External"/><Relationship Id="rId36" Type="http://schemas.openxmlformats.org/officeDocument/2006/relationships/hyperlink" Target="consultantplus://offline/ref=A8EED0C6EE6836D9FD56B199AA52ECDD766BBF5BF0124A9A046935673C05330A03D7A5E8D6FB9220F7855033DD2D0B8E9031F9666915CD1CtBm3I" TargetMode="External"/><Relationship Id="rId49" Type="http://schemas.openxmlformats.org/officeDocument/2006/relationships/hyperlink" Target="consultantplus://offline/ref=A8EED0C6EE6836D9FD56AE88BF52ECDD706FB258F7134A9A046935673C05330A03D7A5E8D7FC922DF3855033DD2D0B8E9031F9666915CD1CtBm3I" TargetMode="External"/><Relationship Id="rId57" Type="http://schemas.openxmlformats.org/officeDocument/2006/relationships/hyperlink" Target="consultantplus://offline/ref=A8EED0C6EE6836D9FD56AE88BF52ECDD706FB258F7134A9A046935673C05330A03D7A5E8D7FC922FF1855033DD2D0B8E9031F9666915CD1CtBm3I" TargetMode="External"/><Relationship Id="rId10" Type="http://schemas.openxmlformats.org/officeDocument/2006/relationships/hyperlink" Target="consultantplus://offline/ref=A8EED0C6EE6836D9FD56AE88BF52ECDD706FB258F7134A9A046935673C05330A03D7A5E8D7FC9229F3855033DD2D0B8E9031F9666915CD1CtBm3I" TargetMode="External"/><Relationship Id="rId31" Type="http://schemas.openxmlformats.org/officeDocument/2006/relationships/hyperlink" Target="consultantplus://offline/ref=A8EED0C6EE6836D9FD56AE88BF52ECDD706FB258F7134A9A046935673C05330A03D7A5E8D7FC922BF3855033DD2D0B8E9031F9666915CD1CtBm3I" TargetMode="External"/><Relationship Id="rId44" Type="http://schemas.openxmlformats.org/officeDocument/2006/relationships/image" Target="media/image1.wmf"/><Relationship Id="rId52" Type="http://schemas.openxmlformats.org/officeDocument/2006/relationships/hyperlink" Target="consultantplus://offline/ref=A8EED0C6EE6836D9FD56AE88BF52ECDD706FB258F7134A9A046935673C05330A03D7A5E8D7FC922CF5855033DD2D0B8E9031F9666915CD1CtBm3I" TargetMode="External"/><Relationship Id="rId60" Type="http://schemas.openxmlformats.org/officeDocument/2006/relationships/hyperlink" Target="consultantplus://offline/ref=A8EED0C6EE6836D9FD56AE88BF52ECDD706FB258F7134A9A046935673C05330A03D7A5E8D7FC9229F3855033DD2D0B8E9031F9666915CD1CtBm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EED0C6EE6836D9FD56AE88BF52ECDD706FB258F7134A9A046935673C05330A03D7A5E8D7FC9228F5855033DD2D0B8E9031F9666915CD1CtB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8761</Words>
  <Characters>49939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Жданова</dc:creator>
  <cp:lastModifiedBy>Наталья Анатольевна Жданова</cp:lastModifiedBy>
  <cp:revision>1</cp:revision>
  <dcterms:created xsi:type="dcterms:W3CDTF">2022-11-23T08:43:00Z</dcterms:created>
  <dcterms:modified xsi:type="dcterms:W3CDTF">2022-11-23T08:44:00Z</dcterms:modified>
</cp:coreProperties>
</file>